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BC5" w:rsidRPr="008C5426" w:rsidRDefault="00BD5E6B" w:rsidP="004458C2">
      <w:pPr>
        <w:pBdr>
          <w:bottom w:val="single" w:sz="6" w:space="1" w:color="auto"/>
        </w:pBdr>
        <w:spacing w:after="240" w:line="276" w:lineRule="auto"/>
        <w:jc w:val="both"/>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xml:space="preserve">  </w:t>
      </w:r>
      <w:r w:rsidR="004458C2" w:rsidRPr="004458C2">
        <w:rPr>
          <w:rFonts w:ascii="Arial" w:hAnsi="Arial" w:cs="Arial"/>
          <w:b/>
          <w:color w:val="0070C0"/>
          <w:sz w:val="28"/>
          <w:szCs w:val="28"/>
        </w:rPr>
        <w:t>Program</w:t>
      </w:r>
      <w:r w:rsidR="004458C2">
        <w:rPr>
          <w:rFonts w:ascii="Arial" w:hAnsi="Arial" w:cs="Arial"/>
          <w:b/>
          <w:color w:val="0070C0"/>
          <w:sz w:val="28"/>
          <w:szCs w:val="28"/>
        </w:rPr>
        <w:t>u</w:t>
      </w:r>
      <w:r w:rsidR="004458C2" w:rsidRPr="004458C2">
        <w:rPr>
          <w:rFonts w:ascii="Arial" w:hAnsi="Arial" w:cs="Arial"/>
          <w:b/>
          <w:color w:val="0070C0"/>
          <w:sz w:val="28"/>
          <w:szCs w:val="28"/>
        </w:rPr>
        <w:t xml:space="preserve"> na podporu aplikovaného výzkumu a inovací v obranném průmyslu PRODEF </w:t>
      </w:r>
    </w:p>
    <w:p w:rsidR="00B24BC5" w:rsidRPr="005D1545" w:rsidRDefault="0078058C" w:rsidP="004458C2">
      <w:pPr>
        <w:pStyle w:val="Normalodsazen"/>
        <w:numPr>
          <w:ilvl w:val="0"/>
          <w:numId w:val="21"/>
        </w:numPr>
        <w:spacing w:after="240" w:line="276" w:lineRule="auto"/>
        <w:ind w:left="1077" w:hanging="357"/>
        <w:rPr>
          <w:b/>
          <w:color w:val="0070C0"/>
          <w:szCs w:val="22"/>
        </w:rPr>
      </w:pPr>
      <w:r w:rsidRPr="005D1545">
        <w:rPr>
          <w:b/>
          <w:color w:val="0070C0"/>
          <w:szCs w:val="22"/>
        </w:rPr>
        <w:t>Způsob předložení návrhu</w:t>
      </w:r>
    </w:p>
    <w:p w:rsidR="00B24BC5" w:rsidRPr="005D1545" w:rsidRDefault="004458C2" w:rsidP="004458C2">
      <w:pPr>
        <w:spacing w:after="240" w:line="276" w:lineRule="auto"/>
        <w:jc w:val="both"/>
        <w:rPr>
          <w:rFonts w:ascii="Arial" w:hAnsi="Arial" w:cs="Arial"/>
          <w:sz w:val="22"/>
          <w:szCs w:val="22"/>
        </w:rPr>
      </w:pPr>
      <w:r>
        <w:rPr>
          <w:rFonts w:ascii="Arial" w:hAnsi="Arial" w:cs="Arial"/>
          <w:sz w:val="22"/>
          <w:szCs w:val="22"/>
        </w:rPr>
        <w:t>Ministerstvo obrany prostřednictvím vrchní ředitelky</w:t>
      </w:r>
      <w:r w:rsidRPr="004458C2">
        <w:rPr>
          <w:rFonts w:ascii="Arial" w:hAnsi="Arial" w:cs="Arial"/>
          <w:sz w:val="22"/>
          <w:szCs w:val="22"/>
        </w:rPr>
        <w:t xml:space="preserve"> </w:t>
      </w:r>
      <w:r>
        <w:rPr>
          <w:rFonts w:ascii="Arial" w:hAnsi="Arial" w:cs="Arial"/>
          <w:sz w:val="22"/>
          <w:szCs w:val="22"/>
        </w:rPr>
        <w:t xml:space="preserve">Ing. Radky </w:t>
      </w:r>
      <w:proofErr w:type="spellStart"/>
      <w:r>
        <w:rPr>
          <w:rFonts w:ascii="Arial" w:hAnsi="Arial" w:cs="Arial"/>
          <w:sz w:val="22"/>
          <w:szCs w:val="22"/>
        </w:rPr>
        <w:t>Konderlové</w:t>
      </w:r>
      <w:proofErr w:type="spellEnd"/>
      <w:r w:rsidRPr="004458C2">
        <w:rPr>
          <w:rFonts w:ascii="Arial" w:hAnsi="Arial" w:cs="Arial"/>
          <w:sz w:val="22"/>
          <w:szCs w:val="22"/>
        </w:rPr>
        <w:t>, MBA</w:t>
      </w:r>
      <w:r>
        <w:rPr>
          <w:rFonts w:ascii="Arial" w:hAnsi="Arial" w:cs="Arial"/>
          <w:sz w:val="22"/>
          <w:szCs w:val="22"/>
        </w:rPr>
        <w:t xml:space="preserve"> požádalo dopisem ze dne 8. září 2023</w:t>
      </w:r>
      <w:r w:rsidR="00B221B4">
        <w:rPr>
          <w:rFonts w:ascii="Arial" w:hAnsi="Arial" w:cs="Arial"/>
          <w:sz w:val="22"/>
          <w:szCs w:val="22"/>
        </w:rPr>
        <w:t>,</w:t>
      </w:r>
      <w:r>
        <w:rPr>
          <w:rFonts w:ascii="Arial" w:hAnsi="Arial" w:cs="Arial"/>
          <w:sz w:val="22"/>
          <w:szCs w:val="22"/>
        </w:rPr>
        <w:t xml:space="preserve"> </w:t>
      </w:r>
      <w:r w:rsidRPr="004458C2">
        <w:rPr>
          <w:rFonts w:ascii="Arial" w:hAnsi="Arial" w:cs="Arial"/>
          <w:sz w:val="22"/>
          <w:szCs w:val="22"/>
        </w:rPr>
        <w:t>Čj. MO 653493/2023-1216</w:t>
      </w:r>
      <w:r w:rsidR="00B221B4">
        <w:rPr>
          <w:rFonts w:ascii="Arial" w:hAnsi="Arial" w:cs="Arial"/>
          <w:sz w:val="22"/>
          <w:szCs w:val="22"/>
        </w:rPr>
        <w:t>,</w:t>
      </w:r>
      <w:r w:rsidRPr="004458C2">
        <w:t xml:space="preserve"> </w:t>
      </w:r>
      <w:r>
        <w:rPr>
          <w:rFonts w:ascii="Arial" w:hAnsi="Arial" w:cs="Arial"/>
          <w:sz w:val="22"/>
          <w:szCs w:val="22"/>
        </w:rPr>
        <w:t>náměstkyni</w:t>
      </w:r>
      <w:r w:rsidRPr="004458C2">
        <w:rPr>
          <w:rFonts w:ascii="Arial" w:hAnsi="Arial" w:cs="Arial"/>
          <w:sz w:val="22"/>
          <w:szCs w:val="22"/>
        </w:rPr>
        <w:t xml:space="preserve"> ministryně pro vědu, výzkum a inovace</w:t>
      </w:r>
      <w:r>
        <w:rPr>
          <w:rFonts w:ascii="Arial" w:hAnsi="Arial" w:cs="Arial"/>
          <w:sz w:val="22"/>
          <w:szCs w:val="22"/>
        </w:rPr>
        <w:t xml:space="preserve"> Mgr. Janu Havlíkovou o</w:t>
      </w:r>
      <w:r w:rsidRPr="004458C2">
        <w:t xml:space="preserve"> </w:t>
      </w:r>
      <w:r>
        <w:rPr>
          <w:rFonts w:ascii="Arial" w:hAnsi="Arial" w:cs="Arial"/>
          <w:sz w:val="22"/>
          <w:szCs w:val="22"/>
        </w:rPr>
        <w:t xml:space="preserve">předložení </w:t>
      </w:r>
      <w:r w:rsidR="00B221B4">
        <w:rPr>
          <w:rFonts w:ascii="Arial" w:hAnsi="Arial" w:cs="Arial"/>
          <w:sz w:val="22"/>
          <w:szCs w:val="22"/>
        </w:rPr>
        <w:t>a</w:t>
      </w:r>
      <w:r>
        <w:rPr>
          <w:rFonts w:ascii="Arial" w:hAnsi="Arial" w:cs="Arial"/>
          <w:sz w:val="22"/>
          <w:szCs w:val="22"/>
        </w:rPr>
        <w:t xml:space="preserve"> posouzení </w:t>
      </w:r>
      <w:r w:rsidR="00B221B4">
        <w:rPr>
          <w:rFonts w:ascii="Arial" w:hAnsi="Arial" w:cs="Arial"/>
          <w:sz w:val="22"/>
          <w:szCs w:val="22"/>
        </w:rPr>
        <w:t xml:space="preserve">návrhu </w:t>
      </w:r>
      <w:r>
        <w:rPr>
          <w:rFonts w:ascii="Arial" w:hAnsi="Arial" w:cs="Arial"/>
          <w:sz w:val="22"/>
          <w:szCs w:val="22"/>
        </w:rPr>
        <w:t>Program</w:t>
      </w:r>
      <w:r w:rsidR="00B221B4">
        <w:rPr>
          <w:rFonts w:ascii="Arial" w:hAnsi="Arial" w:cs="Arial"/>
          <w:sz w:val="22"/>
          <w:szCs w:val="22"/>
        </w:rPr>
        <w:t>u</w:t>
      </w:r>
      <w:r>
        <w:rPr>
          <w:rFonts w:ascii="Arial" w:hAnsi="Arial" w:cs="Arial"/>
          <w:sz w:val="22"/>
          <w:szCs w:val="22"/>
        </w:rPr>
        <w:t xml:space="preserve"> na podporu </w:t>
      </w:r>
      <w:r w:rsidRPr="004458C2">
        <w:rPr>
          <w:rFonts w:ascii="Arial" w:hAnsi="Arial" w:cs="Arial"/>
          <w:sz w:val="22"/>
          <w:szCs w:val="22"/>
        </w:rPr>
        <w:t>aplikovaného výzkumu a inovací v obranném průmyslu PR</w:t>
      </w:r>
      <w:r>
        <w:rPr>
          <w:rFonts w:ascii="Arial" w:hAnsi="Arial" w:cs="Arial"/>
          <w:sz w:val="22"/>
          <w:szCs w:val="22"/>
        </w:rPr>
        <w:t>O</w:t>
      </w:r>
      <w:r w:rsidRPr="004458C2">
        <w:rPr>
          <w:rFonts w:ascii="Arial" w:hAnsi="Arial" w:cs="Arial"/>
          <w:sz w:val="22"/>
          <w:szCs w:val="22"/>
        </w:rPr>
        <w:t>DEF</w:t>
      </w:r>
      <w:r>
        <w:rPr>
          <w:rFonts w:ascii="Arial" w:hAnsi="Arial" w:cs="Arial"/>
          <w:sz w:val="22"/>
          <w:szCs w:val="22"/>
        </w:rPr>
        <w:t xml:space="preserve"> (dále jen „Program“), </w:t>
      </w:r>
      <w:r w:rsidRPr="005D1545">
        <w:rPr>
          <w:rFonts w:ascii="Arial" w:hAnsi="Arial" w:cs="Arial"/>
          <w:sz w:val="22"/>
          <w:szCs w:val="22"/>
        </w:rPr>
        <w:t>včetně doprovodné dokumentace</w:t>
      </w:r>
      <w:r w:rsidR="00B221B4">
        <w:rPr>
          <w:rFonts w:ascii="Arial" w:hAnsi="Arial" w:cs="Arial"/>
          <w:sz w:val="22"/>
          <w:szCs w:val="22"/>
        </w:rPr>
        <w:t>,</w:t>
      </w:r>
      <w:r>
        <w:rPr>
          <w:rFonts w:ascii="Arial" w:hAnsi="Arial" w:cs="Arial"/>
          <w:sz w:val="22"/>
          <w:szCs w:val="22"/>
        </w:rPr>
        <w:t xml:space="preserve"> Radě pro výzkum vývoj </w:t>
      </w:r>
      <w:r w:rsidRPr="004458C2">
        <w:rPr>
          <w:rFonts w:ascii="Arial" w:hAnsi="Arial" w:cs="Arial"/>
          <w:sz w:val="22"/>
          <w:szCs w:val="22"/>
        </w:rPr>
        <w:t>a inovace</w:t>
      </w:r>
      <w:r>
        <w:rPr>
          <w:rFonts w:ascii="Arial" w:hAnsi="Arial" w:cs="Arial"/>
          <w:sz w:val="22"/>
          <w:szCs w:val="22"/>
        </w:rPr>
        <w:t xml:space="preserve"> (dále jen „Rada“)</w:t>
      </w:r>
      <w:r w:rsidR="00B24BC5" w:rsidRPr="005D1545">
        <w:rPr>
          <w:rFonts w:ascii="Arial" w:hAnsi="Arial" w:cs="Arial"/>
          <w:sz w:val="22"/>
          <w:szCs w:val="22"/>
        </w:rPr>
        <w:t xml:space="preserve"> </w:t>
      </w:r>
    </w:p>
    <w:p w:rsidR="006956F2" w:rsidRPr="005D1545" w:rsidRDefault="006956F2" w:rsidP="004458C2">
      <w:pPr>
        <w:spacing w:after="240" w:line="276" w:lineRule="auto"/>
        <w:jc w:val="both"/>
        <w:rPr>
          <w:rFonts w:ascii="Arial" w:hAnsi="Arial" w:cs="Arial"/>
          <w:sz w:val="22"/>
          <w:szCs w:val="22"/>
        </w:rPr>
      </w:pPr>
      <w:r w:rsidRPr="005D1545">
        <w:rPr>
          <w:rFonts w:ascii="Arial" w:hAnsi="Arial" w:cs="Arial"/>
          <w:sz w:val="22"/>
          <w:szCs w:val="22"/>
        </w:rPr>
        <w:t>Program je předkládán ke stanovisku Radě podle § 5 odst. 2 zákona č. 130/2002 Sb.</w:t>
      </w:r>
      <w:r w:rsidR="005D1545">
        <w:rPr>
          <w:rFonts w:ascii="Arial" w:hAnsi="Arial" w:cs="Arial"/>
          <w:sz w:val="22"/>
          <w:szCs w:val="22"/>
        </w:rPr>
        <w:t>, o </w:t>
      </w:r>
      <w:r w:rsidRPr="005D1545">
        <w:rPr>
          <w:rFonts w:ascii="Arial" w:hAnsi="Arial" w:cs="Arial"/>
          <w:sz w:val="22"/>
          <w:szCs w:val="22"/>
        </w:rPr>
        <w:t>podpoře výzkumu, experimentálního vývoje a ino</w:t>
      </w:r>
      <w:r w:rsidR="00F31B74" w:rsidRPr="005D1545">
        <w:rPr>
          <w:rFonts w:ascii="Arial" w:hAnsi="Arial" w:cs="Arial"/>
          <w:sz w:val="22"/>
          <w:szCs w:val="22"/>
        </w:rPr>
        <w:t>vací z veřejných prostředků a </w:t>
      </w:r>
      <w:r w:rsidR="002563B8" w:rsidRPr="005D1545">
        <w:rPr>
          <w:rFonts w:ascii="Arial" w:hAnsi="Arial" w:cs="Arial"/>
          <w:sz w:val="22"/>
          <w:szCs w:val="22"/>
        </w:rPr>
        <w:t>o </w:t>
      </w:r>
      <w:r w:rsidRPr="005D1545">
        <w:rPr>
          <w:rFonts w:ascii="Arial" w:hAnsi="Arial" w:cs="Arial"/>
          <w:sz w:val="22"/>
          <w:szCs w:val="22"/>
        </w:rPr>
        <w:t>změně některých souvisejících zákonů (zákon o podpoře výz</w:t>
      </w:r>
      <w:r w:rsidR="005D1545">
        <w:rPr>
          <w:rFonts w:ascii="Arial" w:hAnsi="Arial" w:cs="Arial"/>
          <w:sz w:val="22"/>
          <w:szCs w:val="22"/>
        </w:rPr>
        <w:t>kumu, experimentálního vývoje a </w:t>
      </w:r>
      <w:r w:rsidRPr="005D1545">
        <w:rPr>
          <w:rFonts w:ascii="Arial" w:hAnsi="Arial" w:cs="Arial"/>
          <w:sz w:val="22"/>
          <w:szCs w:val="22"/>
        </w:rPr>
        <w:t>inovací), ve znění pozdějších předpisů.</w:t>
      </w:r>
    </w:p>
    <w:p w:rsidR="00B24BC5" w:rsidRPr="005D1545" w:rsidRDefault="008C5426" w:rsidP="004458C2">
      <w:pPr>
        <w:pStyle w:val="Normalodsazen"/>
        <w:numPr>
          <w:ilvl w:val="0"/>
          <w:numId w:val="21"/>
        </w:numPr>
        <w:spacing w:after="240" w:line="276" w:lineRule="auto"/>
        <w:rPr>
          <w:b/>
          <w:color w:val="0070C0"/>
          <w:szCs w:val="22"/>
        </w:rPr>
      </w:pPr>
      <w:r w:rsidRPr="005D1545">
        <w:rPr>
          <w:b/>
          <w:color w:val="0070C0"/>
          <w:szCs w:val="22"/>
        </w:rPr>
        <w:t>K hodnocení návrhu Programu Radou</w:t>
      </w:r>
    </w:p>
    <w:p w:rsidR="008C5426" w:rsidRPr="005D1545" w:rsidRDefault="008C5426" w:rsidP="004458C2">
      <w:pPr>
        <w:pStyle w:val="Zkladntext2"/>
        <w:spacing w:after="240" w:line="276" w:lineRule="auto"/>
        <w:jc w:val="both"/>
        <w:rPr>
          <w:rFonts w:ascii="Arial" w:hAnsi="Arial" w:cs="Arial"/>
          <w:sz w:val="22"/>
          <w:szCs w:val="22"/>
        </w:rPr>
      </w:pPr>
      <w:r w:rsidRPr="005D1545">
        <w:rPr>
          <w:rFonts w:ascii="Arial" w:hAnsi="Arial" w:cs="Arial"/>
          <w:sz w:val="22"/>
          <w:szCs w:val="22"/>
        </w:rPr>
        <w:t xml:space="preserve">Rada posoudila návrh </w:t>
      </w:r>
      <w:r w:rsidR="0026232B" w:rsidRPr="005D1545">
        <w:rPr>
          <w:rFonts w:ascii="Arial" w:hAnsi="Arial" w:cs="Arial"/>
          <w:sz w:val="22"/>
          <w:szCs w:val="22"/>
        </w:rPr>
        <w:t>P</w:t>
      </w:r>
      <w:r w:rsidRPr="005D1545">
        <w:rPr>
          <w:rFonts w:ascii="Arial" w:hAnsi="Arial" w:cs="Arial"/>
          <w:sz w:val="22"/>
          <w:szCs w:val="22"/>
        </w:rPr>
        <w:t>rogramu</w:t>
      </w:r>
      <w:r w:rsidR="00014153">
        <w:rPr>
          <w:rFonts w:ascii="Arial" w:hAnsi="Arial" w:cs="Arial"/>
          <w:sz w:val="22"/>
          <w:szCs w:val="22"/>
        </w:rPr>
        <w:t xml:space="preserve"> na svém 394</w:t>
      </w:r>
      <w:r w:rsidR="0051015C" w:rsidRPr="005D1545">
        <w:rPr>
          <w:rFonts w:ascii="Arial" w:hAnsi="Arial" w:cs="Arial"/>
          <w:sz w:val="22"/>
          <w:szCs w:val="22"/>
        </w:rPr>
        <w:t xml:space="preserve">. </w:t>
      </w:r>
      <w:r w:rsidR="0026232B" w:rsidRPr="005D1545">
        <w:rPr>
          <w:rFonts w:ascii="Arial" w:hAnsi="Arial" w:cs="Arial"/>
          <w:sz w:val="22"/>
          <w:szCs w:val="22"/>
        </w:rPr>
        <w:t xml:space="preserve">zasedání dne </w:t>
      </w:r>
      <w:r w:rsidR="00014153">
        <w:rPr>
          <w:rFonts w:ascii="Arial" w:hAnsi="Arial" w:cs="Arial"/>
          <w:sz w:val="22"/>
          <w:szCs w:val="22"/>
        </w:rPr>
        <w:t>27. října</w:t>
      </w:r>
      <w:r w:rsidR="0051015C" w:rsidRPr="005D1545">
        <w:rPr>
          <w:rFonts w:ascii="Arial" w:hAnsi="Arial" w:cs="Arial"/>
          <w:sz w:val="22"/>
          <w:szCs w:val="22"/>
        </w:rPr>
        <w:t xml:space="preserve"> </w:t>
      </w:r>
      <w:r w:rsidR="008A77EA" w:rsidRPr="005D1545">
        <w:rPr>
          <w:rFonts w:ascii="Arial" w:hAnsi="Arial" w:cs="Arial"/>
          <w:sz w:val="22"/>
          <w:szCs w:val="22"/>
        </w:rPr>
        <w:t>2023</w:t>
      </w:r>
      <w:r w:rsidR="00B678A3">
        <w:rPr>
          <w:rFonts w:ascii="Arial" w:hAnsi="Arial" w:cs="Arial"/>
          <w:sz w:val="22"/>
          <w:szCs w:val="22"/>
        </w:rPr>
        <w:t xml:space="preserve"> a opětovně dne 15. prosince 2023</w:t>
      </w:r>
      <w:r w:rsidR="00F31B74" w:rsidRPr="005D1545">
        <w:rPr>
          <w:rFonts w:ascii="Arial" w:hAnsi="Arial" w:cs="Arial"/>
          <w:sz w:val="22"/>
          <w:szCs w:val="22"/>
        </w:rPr>
        <w:t>, a to </w:t>
      </w:r>
      <w:r w:rsidRPr="005D1545">
        <w:rPr>
          <w:rFonts w:ascii="Arial" w:hAnsi="Arial" w:cs="Arial"/>
          <w:sz w:val="22"/>
          <w:szCs w:val="22"/>
        </w:rPr>
        <w:t>podle následujících dokumentů:</w:t>
      </w:r>
    </w:p>
    <w:p w:rsidR="008C5426" w:rsidRPr="005D1545" w:rsidRDefault="008C5426" w:rsidP="004458C2">
      <w:pPr>
        <w:pStyle w:val="Odstavecseseznamem"/>
        <w:numPr>
          <w:ilvl w:val="0"/>
          <w:numId w:val="20"/>
        </w:numPr>
        <w:spacing w:after="240" w:line="276" w:lineRule="auto"/>
        <w:ind w:left="1077" w:hanging="357"/>
        <w:contextualSpacing w:val="0"/>
        <w:jc w:val="both"/>
        <w:rPr>
          <w:rFonts w:ascii="Arial" w:hAnsi="Arial" w:cs="Arial"/>
          <w:sz w:val="22"/>
          <w:szCs w:val="22"/>
        </w:rPr>
      </w:pPr>
      <w:r w:rsidRPr="005D1545">
        <w:rPr>
          <w:rFonts w:ascii="Arial" w:hAnsi="Arial" w:cs="Arial"/>
          <w:sz w:val="22"/>
          <w:szCs w:val="22"/>
        </w:rPr>
        <w:t xml:space="preserve">zákona č. 130/2002 Sb., o podpoře výzkumu, experimentálního vývoje a inovací z veřejných prostředků a o změně některých zákonů (zákon o podpoře výzkumu, experimentálního vývoje a inovací), ve znění pozdějších předpisů, </w:t>
      </w:r>
    </w:p>
    <w:p w:rsidR="008C5426" w:rsidRPr="005D1545" w:rsidRDefault="008C5426" w:rsidP="004458C2">
      <w:pPr>
        <w:pStyle w:val="Odstavecseseznamem"/>
        <w:numPr>
          <w:ilvl w:val="0"/>
          <w:numId w:val="20"/>
        </w:numPr>
        <w:spacing w:after="240" w:line="276" w:lineRule="auto"/>
        <w:jc w:val="both"/>
        <w:rPr>
          <w:rFonts w:ascii="Arial" w:hAnsi="Arial" w:cs="Arial"/>
          <w:sz w:val="22"/>
          <w:szCs w:val="22"/>
        </w:rPr>
      </w:pPr>
      <w:r w:rsidRPr="005D1545">
        <w:rPr>
          <w:rFonts w:ascii="Arial" w:hAnsi="Arial" w:cs="Arial"/>
          <w:sz w:val="22"/>
          <w:szCs w:val="22"/>
        </w:rPr>
        <w:t>M</w:t>
      </w:r>
      <w:r w:rsidRPr="005D1545">
        <w:rPr>
          <w:rFonts w:ascii="Arial" w:eastAsiaTheme="minorHAnsi" w:hAnsi="Arial" w:cs="Arial"/>
          <w:color w:val="000000"/>
          <w:sz w:val="22"/>
          <w:szCs w:val="22"/>
          <w:lang w:eastAsia="en-US"/>
        </w:rPr>
        <w:t>etodiky hodnocení výzkumných organizací a hodnocení programů účelové podpory výzkumu, vývoje a inovací schválené usnesením vlády ze dne 8. února 2017 č. 107 (dále jen „Metodika M17+“),</w:t>
      </w:r>
    </w:p>
    <w:p w:rsidR="008C5426" w:rsidRPr="005D1545" w:rsidRDefault="008C5426" w:rsidP="004458C2">
      <w:pPr>
        <w:pStyle w:val="Zkladntext2"/>
        <w:numPr>
          <w:ilvl w:val="0"/>
          <w:numId w:val="20"/>
        </w:numPr>
        <w:spacing w:after="240" w:line="276" w:lineRule="auto"/>
        <w:jc w:val="both"/>
        <w:rPr>
          <w:rFonts w:ascii="Arial" w:hAnsi="Arial" w:cs="Arial"/>
          <w:sz w:val="22"/>
          <w:szCs w:val="22"/>
        </w:rPr>
      </w:pPr>
      <w:r w:rsidRPr="005D1545">
        <w:rPr>
          <w:rFonts w:ascii="Arial" w:eastAsiaTheme="minorHAnsi" w:hAnsi="Arial" w:cs="Arial"/>
          <w:color w:val="000000"/>
          <w:sz w:val="22"/>
          <w:szCs w:val="22"/>
          <w:lang w:eastAsia="en-US"/>
        </w:rPr>
        <w:t>Základních principů přípravy a hodnocení programů a skupin grantových projektů výzkumu, vývoje a inovací (příloha k usnesení vlády ze dne 13. k</w:t>
      </w:r>
      <w:r w:rsidR="005D1545">
        <w:rPr>
          <w:rFonts w:ascii="Arial" w:eastAsiaTheme="minorHAnsi" w:hAnsi="Arial" w:cs="Arial"/>
          <w:color w:val="000000"/>
          <w:sz w:val="22"/>
          <w:szCs w:val="22"/>
          <w:lang w:eastAsia="en-US"/>
        </w:rPr>
        <w:t>větna 2015 č. </w:t>
      </w:r>
      <w:r w:rsidRPr="005D1545">
        <w:rPr>
          <w:rFonts w:ascii="Arial" w:eastAsiaTheme="minorHAnsi" w:hAnsi="Arial" w:cs="Arial"/>
          <w:color w:val="000000"/>
          <w:sz w:val="22"/>
          <w:szCs w:val="22"/>
          <w:lang w:eastAsia="en-US"/>
        </w:rPr>
        <w:t>351), (dále jen „Principy“).</w:t>
      </w:r>
    </w:p>
    <w:p w:rsidR="008C5426" w:rsidRPr="005D1545" w:rsidRDefault="008C5426" w:rsidP="004458C2">
      <w:pPr>
        <w:pStyle w:val="Zkladntext2"/>
        <w:numPr>
          <w:ilvl w:val="0"/>
          <w:numId w:val="20"/>
        </w:numPr>
        <w:spacing w:after="240" w:line="276" w:lineRule="auto"/>
        <w:jc w:val="both"/>
        <w:rPr>
          <w:rFonts w:ascii="Arial" w:hAnsi="Arial" w:cs="Arial"/>
          <w:sz w:val="22"/>
          <w:szCs w:val="22"/>
        </w:rPr>
      </w:pPr>
      <w:r w:rsidRPr="005D1545">
        <w:rPr>
          <w:rFonts w:ascii="Arial" w:hAnsi="Arial" w:cs="Arial"/>
          <w:sz w:val="22"/>
          <w:szCs w:val="22"/>
        </w:rPr>
        <w:t>Národní politiky výzkumu, vývoje a inovací České republiky 2021+, schválené usnesením vlády ze dne 20. července 2020 č. 759</w:t>
      </w:r>
      <w:r w:rsidR="00AB5C14" w:rsidRPr="005D1545">
        <w:rPr>
          <w:rFonts w:ascii="Arial" w:hAnsi="Arial" w:cs="Arial"/>
          <w:sz w:val="22"/>
          <w:szCs w:val="22"/>
        </w:rPr>
        <w:t xml:space="preserve"> (dále jen „NP VaVaI 2021+“)</w:t>
      </w:r>
      <w:r w:rsidRPr="005D1545">
        <w:rPr>
          <w:rFonts w:ascii="Arial" w:hAnsi="Arial" w:cs="Arial"/>
          <w:sz w:val="22"/>
          <w:szCs w:val="22"/>
        </w:rPr>
        <w:t>,</w:t>
      </w:r>
    </w:p>
    <w:p w:rsidR="008C5426" w:rsidRPr="005D1545" w:rsidRDefault="008C5426" w:rsidP="004458C2">
      <w:pPr>
        <w:pStyle w:val="Odstavecseseznamem"/>
        <w:numPr>
          <w:ilvl w:val="0"/>
          <w:numId w:val="20"/>
        </w:numPr>
        <w:spacing w:after="240" w:line="276" w:lineRule="auto"/>
        <w:contextualSpacing w:val="0"/>
        <w:jc w:val="both"/>
        <w:rPr>
          <w:rFonts w:ascii="Arial" w:hAnsi="Arial" w:cs="Arial"/>
          <w:sz w:val="22"/>
          <w:szCs w:val="22"/>
        </w:rPr>
      </w:pPr>
      <w:r w:rsidRPr="005D1545">
        <w:rPr>
          <w:rFonts w:ascii="Arial" w:hAnsi="Arial" w:cs="Arial"/>
          <w:sz w:val="22"/>
          <w:szCs w:val="22"/>
        </w:rPr>
        <w:t>Národních priorit orientovaného výzkumu, experimentálního vývoje a inovací schválených usnesením vlády ze dne 19. července 2012 č. 552,</w:t>
      </w:r>
    </w:p>
    <w:p w:rsidR="005D1545" w:rsidRDefault="008C5426" w:rsidP="006115B9">
      <w:pPr>
        <w:pStyle w:val="Odstavecseseznamem"/>
        <w:numPr>
          <w:ilvl w:val="0"/>
          <w:numId w:val="20"/>
        </w:numPr>
        <w:autoSpaceDE w:val="0"/>
        <w:autoSpaceDN w:val="0"/>
        <w:adjustRightInd w:val="0"/>
        <w:spacing w:after="240" w:line="276" w:lineRule="auto"/>
        <w:contextualSpacing w:val="0"/>
        <w:jc w:val="both"/>
        <w:rPr>
          <w:rFonts w:ascii="Arial" w:hAnsi="Arial" w:cs="Arial"/>
          <w:sz w:val="22"/>
          <w:szCs w:val="22"/>
        </w:rPr>
      </w:pPr>
      <w:r w:rsidRPr="005D1545">
        <w:rPr>
          <w:rFonts w:ascii="Arial" w:hAnsi="Arial" w:cs="Arial"/>
          <w:sz w:val="22"/>
          <w:szCs w:val="22"/>
        </w:rPr>
        <w:t>Nařízení Komise (EU) č. 651/2014 ze dne 17. června 2014, kterým se v </w:t>
      </w:r>
      <w:r w:rsidR="005D1545">
        <w:rPr>
          <w:rFonts w:ascii="Arial" w:hAnsi="Arial" w:cs="Arial"/>
          <w:sz w:val="22"/>
          <w:szCs w:val="22"/>
        </w:rPr>
        <w:t>souladu s </w:t>
      </w:r>
      <w:r w:rsidRPr="005D1545">
        <w:rPr>
          <w:rFonts w:ascii="Arial" w:hAnsi="Arial" w:cs="Arial"/>
          <w:sz w:val="22"/>
          <w:szCs w:val="22"/>
        </w:rPr>
        <w:t>články 107 a 108 Smlouvy prohlašují určité ka</w:t>
      </w:r>
      <w:r w:rsidR="005D1545">
        <w:rPr>
          <w:rFonts w:ascii="Arial" w:hAnsi="Arial" w:cs="Arial"/>
          <w:sz w:val="22"/>
          <w:szCs w:val="22"/>
        </w:rPr>
        <w:t>tegorie podpory za slučitelné s </w:t>
      </w:r>
      <w:r w:rsidRPr="005D1545">
        <w:rPr>
          <w:rFonts w:ascii="Arial" w:hAnsi="Arial" w:cs="Arial"/>
          <w:sz w:val="22"/>
          <w:szCs w:val="22"/>
        </w:rPr>
        <w:t>vnitřním trhem – L 187/1 (dále jen „Nařízení Komise (EU)“) a Sdělením Komise – Rámec pro státní podporu výzkumu, vývoje a inovací -</w:t>
      </w:r>
      <w:r w:rsidR="006115B9">
        <w:rPr>
          <w:rFonts w:ascii="Arial" w:hAnsi="Arial" w:cs="Arial"/>
          <w:sz w:val="22"/>
          <w:szCs w:val="22"/>
        </w:rPr>
        <w:t xml:space="preserve"> </w:t>
      </w:r>
      <w:r w:rsidR="006115B9" w:rsidRPr="006115B9">
        <w:rPr>
          <w:rFonts w:ascii="Arial" w:hAnsi="Arial" w:cs="Arial"/>
          <w:sz w:val="22"/>
          <w:szCs w:val="22"/>
        </w:rPr>
        <w:t>2022/C 414/01</w:t>
      </w:r>
      <w:r w:rsidRPr="005D1545">
        <w:rPr>
          <w:rFonts w:ascii="Arial" w:hAnsi="Arial" w:cs="Arial"/>
          <w:sz w:val="22"/>
          <w:szCs w:val="22"/>
        </w:rPr>
        <w:t xml:space="preserve"> (dále jen „Rámec“).</w:t>
      </w:r>
    </w:p>
    <w:p w:rsidR="00B24BC5" w:rsidRPr="005D1545" w:rsidRDefault="005D1545" w:rsidP="004458C2">
      <w:pPr>
        <w:spacing w:after="200" w:line="276" w:lineRule="auto"/>
        <w:rPr>
          <w:rFonts w:ascii="Arial" w:hAnsi="Arial" w:cs="Arial"/>
          <w:sz w:val="22"/>
          <w:szCs w:val="22"/>
        </w:rPr>
      </w:pPr>
      <w:r>
        <w:rPr>
          <w:rFonts w:ascii="Arial" w:hAnsi="Arial" w:cs="Arial"/>
          <w:sz w:val="22"/>
          <w:szCs w:val="22"/>
        </w:rPr>
        <w:br w:type="page"/>
      </w:r>
    </w:p>
    <w:p w:rsidR="0078058C" w:rsidRPr="005D1545" w:rsidRDefault="0099436E" w:rsidP="004458C2">
      <w:pPr>
        <w:pStyle w:val="Normalodsazen"/>
        <w:numPr>
          <w:ilvl w:val="0"/>
          <w:numId w:val="21"/>
        </w:numPr>
        <w:spacing w:after="240" w:line="276" w:lineRule="auto"/>
        <w:rPr>
          <w:b/>
          <w:color w:val="0070C0"/>
          <w:szCs w:val="22"/>
        </w:rPr>
      </w:pPr>
      <w:r w:rsidRPr="005D1545">
        <w:rPr>
          <w:b/>
          <w:color w:val="0070C0"/>
          <w:szCs w:val="22"/>
        </w:rPr>
        <w:lastRenderedPageBreak/>
        <w:t>Soulad se zákonem o podpoře výzkumu, experimentálního vývoje a</w:t>
      </w:r>
      <w:r w:rsidR="00991C33" w:rsidRPr="005D1545">
        <w:rPr>
          <w:b/>
          <w:color w:val="0070C0"/>
          <w:szCs w:val="22"/>
        </w:rPr>
        <w:t> </w:t>
      </w:r>
      <w:r w:rsidRPr="005D1545">
        <w:rPr>
          <w:b/>
          <w:color w:val="0070C0"/>
          <w:szCs w:val="22"/>
        </w:rPr>
        <w:t>inovací</w:t>
      </w:r>
      <w:r w:rsidR="0078058C" w:rsidRPr="005D1545">
        <w:rPr>
          <w:b/>
          <w:color w:val="0070C0"/>
          <w:szCs w:val="22"/>
        </w:rPr>
        <w:t xml:space="preserve"> </w:t>
      </w:r>
    </w:p>
    <w:p w:rsidR="00991C33" w:rsidRPr="005D1545" w:rsidRDefault="00991C33" w:rsidP="004458C2">
      <w:pPr>
        <w:spacing w:after="240" w:line="276" w:lineRule="auto"/>
        <w:jc w:val="both"/>
        <w:rPr>
          <w:rFonts w:ascii="Arial" w:hAnsi="Arial" w:cs="Arial"/>
          <w:sz w:val="22"/>
          <w:szCs w:val="22"/>
        </w:rPr>
      </w:pPr>
      <w:r w:rsidRPr="005D1545">
        <w:rPr>
          <w:rFonts w:ascii="Arial" w:hAnsi="Arial" w:cs="Arial"/>
          <w:sz w:val="22"/>
          <w:szCs w:val="22"/>
        </w:rPr>
        <w:t xml:space="preserve">Rada hodnotí splnění požadavků na obsah </w:t>
      </w:r>
      <w:r w:rsidR="0026232B" w:rsidRPr="005D1545">
        <w:rPr>
          <w:rFonts w:ascii="Arial" w:hAnsi="Arial" w:cs="Arial"/>
          <w:sz w:val="22"/>
          <w:szCs w:val="22"/>
        </w:rPr>
        <w:t>nového</w:t>
      </w:r>
      <w:r w:rsidRPr="005D1545">
        <w:rPr>
          <w:rFonts w:ascii="Arial" w:hAnsi="Arial" w:cs="Arial"/>
          <w:sz w:val="22"/>
          <w:szCs w:val="22"/>
        </w:rPr>
        <w:t xml:space="preserve"> </w:t>
      </w:r>
      <w:r w:rsidR="005D1545" w:rsidRPr="005D1545">
        <w:rPr>
          <w:rFonts w:ascii="Arial" w:hAnsi="Arial" w:cs="Arial"/>
          <w:sz w:val="22"/>
          <w:szCs w:val="22"/>
        </w:rPr>
        <w:t>programu, stanovených § 5 odst. </w:t>
      </w:r>
      <w:r w:rsidRPr="005D1545">
        <w:rPr>
          <w:rFonts w:ascii="Arial" w:hAnsi="Arial" w:cs="Arial"/>
          <w:sz w:val="22"/>
          <w:szCs w:val="22"/>
        </w:rPr>
        <w:t xml:space="preserve">2 zákona </w:t>
      </w:r>
      <w:r w:rsidR="00D9058B" w:rsidRPr="005D1545">
        <w:rPr>
          <w:rFonts w:ascii="Arial" w:hAnsi="Arial" w:cs="Arial"/>
          <w:sz w:val="22"/>
          <w:szCs w:val="22"/>
        </w:rPr>
        <w:t xml:space="preserve">č. 130/2002 Sb., o </w:t>
      </w:r>
      <w:r w:rsidR="00AB5C14" w:rsidRPr="005D1545">
        <w:rPr>
          <w:rFonts w:ascii="Arial" w:hAnsi="Arial" w:cs="Arial"/>
          <w:sz w:val="22"/>
          <w:szCs w:val="22"/>
        </w:rPr>
        <w:t xml:space="preserve">podpoře </w:t>
      </w:r>
      <w:r w:rsidR="00D9058B" w:rsidRPr="005D1545">
        <w:rPr>
          <w:rFonts w:ascii="Arial" w:hAnsi="Arial" w:cs="Arial"/>
          <w:sz w:val="22"/>
          <w:szCs w:val="22"/>
        </w:rPr>
        <w:t>výzkumu, experimentální</w:t>
      </w:r>
      <w:r w:rsidR="00AB5C14" w:rsidRPr="005D1545">
        <w:rPr>
          <w:rFonts w:ascii="Arial" w:hAnsi="Arial" w:cs="Arial"/>
          <w:sz w:val="22"/>
          <w:szCs w:val="22"/>
        </w:rPr>
        <w:t>ho</w:t>
      </w:r>
      <w:r w:rsidR="00D9058B" w:rsidRPr="005D1545">
        <w:rPr>
          <w:rFonts w:ascii="Arial" w:hAnsi="Arial" w:cs="Arial"/>
          <w:sz w:val="22"/>
          <w:szCs w:val="22"/>
        </w:rPr>
        <w:t xml:space="preserve"> vývoj</w:t>
      </w:r>
      <w:r w:rsidR="00AB5C14" w:rsidRPr="005D1545">
        <w:rPr>
          <w:rFonts w:ascii="Arial" w:hAnsi="Arial" w:cs="Arial"/>
          <w:sz w:val="22"/>
          <w:szCs w:val="22"/>
        </w:rPr>
        <w:t>e</w:t>
      </w:r>
      <w:r w:rsidR="00D9058B" w:rsidRPr="005D1545">
        <w:rPr>
          <w:rFonts w:ascii="Arial" w:hAnsi="Arial" w:cs="Arial"/>
          <w:sz w:val="22"/>
          <w:szCs w:val="22"/>
        </w:rPr>
        <w:t xml:space="preserve"> a inovací</w:t>
      </w:r>
      <w:r w:rsidR="005736AB" w:rsidRPr="005D1545">
        <w:rPr>
          <w:rFonts w:ascii="Arial" w:hAnsi="Arial" w:cs="Arial"/>
          <w:sz w:val="22"/>
          <w:szCs w:val="22"/>
        </w:rPr>
        <w:t xml:space="preserve"> </w:t>
      </w:r>
      <w:r w:rsidRPr="005D1545">
        <w:rPr>
          <w:rFonts w:ascii="Arial" w:hAnsi="Arial" w:cs="Arial"/>
          <w:sz w:val="22"/>
          <w:szCs w:val="22"/>
        </w:rPr>
        <w:t>takto:</w:t>
      </w:r>
    </w:p>
    <w:p w:rsidR="007877C3" w:rsidRPr="005D1545" w:rsidRDefault="00991C33" w:rsidP="004458C2">
      <w:pPr>
        <w:numPr>
          <w:ilvl w:val="0"/>
          <w:numId w:val="2"/>
        </w:numPr>
        <w:spacing w:after="240" w:line="276" w:lineRule="auto"/>
        <w:jc w:val="both"/>
        <w:rPr>
          <w:rFonts w:ascii="Arial" w:hAnsi="Arial" w:cs="Arial"/>
          <w:sz w:val="22"/>
          <w:szCs w:val="22"/>
          <w:u w:val="single"/>
        </w:rPr>
      </w:pPr>
      <w:r w:rsidRPr="005D1545">
        <w:rPr>
          <w:rFonts w:ascii="Arial" w:hAnsi="Arial" w:cs="Arial"/>
          <w:sz w:val="22"/>
          <w:szCs w:val="22"/>
          <w:u w:val="single"/>
        </w:rPr>
        <w:t>Identifik</w:t>
      </w:r>
      <w:r w:rsidR="007877C3" w:rsidRPr="005D1545">
        <w:rPr>
          <w:rFonts w:ascii="Arial" w:hAnsi="Arial" w:cs="Arial"/>
          <w:sz w:val="22"/>
          <w:szCs w:val="22"/>
          <w:u w:val="single"/>
        </w:rPr>
        <w:t>ační údaje a doba trvání programu</w:t>
      </w:r>
      <w:r w:rsidRPr="005D1545">
        <w:rPr>
          <w:rFonts w:ascii="Arial" w:hAnsi="Arial" w:cs="Arial"/>
          <w:sz w:val="22"/>
          <w:szCs w:val="22"/>
          <w:u w:val="single"/>
        </w:rPr>
        <w:t xml:space="preserve"> </w:t>
      </w:r>
    </w:p>
    <w:p w:rsidR="00991C33" w:rsidRDefault="00991C33" w:rsidP="004458C2">
      <w:pPr>
        <w:spacing w:after="240" w:line="276" w:lineRule="auto"/>
        <w:jc w:val="both"/>
        <w:outlineLvl w:val="0"/>
        <w:rPr>
          <w:rFonts w:ascii="Arial" w:hAnsi="Arial" w:cs="Arial"/>
          <w:sz w:val="22"/>
          <w:szCs w:val="22"/>
        </w:rPr>
      </w:pPr>
      <w:r w:rsidRPr="005D1545">
        <w:rPr>
          <w:rFonts w:ascii="Arial" w:hAnsi="Arial" w:cs="Arial"/>
          <w:sz w:val="22"/>
          <w:szCs w:val="22"/>
          <w:u w:val="single"/>
        </w:rPr>
        <w:t>Název programu:</w:t>
      </w:r>
      <w:r w:rsidRPr="005D1545">
        <w:rPr>
          <w:rFonts w:ascii="Arial" w:hAnsi="Arial" w:cs="Arial"/>
          <w:sz w:val="22"/>
          <w:szCs w:val="22"/>
        </w:rPr>
        <w:t xml:space="preserve"> </w:t>
      </w:r>
      <w:r w:rsidR="00627B43" w:rsidRPr="00627B43">
        <w:rPr>
          <w:rFonts w:ascii="Arial" w:hAnsi="Arial" w:cs="Arial"/>
          <w:sz w:val="22"/>
          <w:szCs w:val="22"/>
        </w:rPr>
        <w:t>Program na podporu aplikovaného výzkumu a inovací v obranném průmyslu PRODEF</w:t>
      </w:r>
    </w:p>
    <w:p w:rsidR="006D4F24" w:rsidRPr="006D4F24" w:rsidRDefault="004E742A" w:rsidP="006D4F24">
      <w:pPr>
        <w:pStyle w:val="Zkladntext2"/>
        <w:tabs>
          <w:tab w:val="left" w:pos="2055"/>
          <w:tab w:val="left" w:pos="3898"/>
          <w:tab w:val="left" w:pos="5740"/>
          <w:tab w:val="left" w:pos="7583"/>
        </w:tabs>
        <w:spacing w:line="276" w:lineRule="auto"/>
        <w:jc w:val="both"/>
      </w:pPr>
      <w:r>
        <w:rPr>
          <w:rFonts w:ascii="Arial" w:hAnsi="Arial" w:cs="Arial"/>
          <w:sz w:val="22"/>
          <w:szCs w:val="22"/>
        </w:rPr>
        <w:t>Program má dva P</w:t>
      </w:r>
      <w:r w:rsidR="006D4F24" w:rsidRPr="006D4F24">
        <w:rPr>
          <w:rFonts w:ascii="Arial" w:hAnsi="Arial" w:cs="Arial"/>
          <w:sz w:val="22"/>
          <w:szCs w:val="22"/>
        </w:rPr>
        <w:t>odprogramy:</w:t>
      </w:r>
      <w:r w:rsidR="006D4F24" w:rsidRPr="006D4F24">
        <w:t xml:space="preserve"> </w:t>
      </w:r>
    </w:p>
    <w:p w:rsidR="006D4F24" w:rsidRDefault="00927FCA" w:rsidP="006D4F24">
      <w:pPr>
        <w:pStyle w:val="Zkladntext2"/>
        <w:tabs>
          <w:tab w:val="left" w:pos="2055"/>
          <w:tab w:val="left" w:pos="3898"/>
          <w:tab w:val="left" w:pos="5740"/>
          <w:tab w:val="left" w:pos="7583"/>
        </w:tabs>
        <w:spacing w:line="276" w:lineRule="auto"/>
        <w:jc w:val="both"/>
        <w:rPr>
          <w:rFonts w:ascii="Arial" w:hAnsi="Arial" w:cs="Arial"/>
          <w:sz w:val="22"/>
          <w:szCs w:val="22"/>
        </w:rPr>
      </w:pPr>
      <w:r>
        <w:rPr>
          <w:rFonts w:ascii="Arial" w:hAnsi="Arial" w:cs="Arial"/>
          <w:sz w:val="22"/>
          <w:szCs w:val="22"/>
        </w:rPr>
        <w:t xml:space="preserve">1) </w:t>
      </w:r>
      <w:r w:rsidR="006D4F24" w:rsidRPr="006D4F24">
        <w:rPr>
          <w:rFonts w:ascii="Arial" w:hAnsi="Arial" w:cs="Arial"/>
          <w:sz w:val="22"/>
          <w:szCs w:val="22"/>
        </w:rPr>
        <w:t>Podpora český</w:t>
      </w:r>
      <w:r w:rsidR="006D4F24">
        <w:rPr>
          <w:rFonts w:ascii="Arial" w:hAnsi="Arial" w:cs="Arial"/>
          <w:sz w:val="22"/>
          <w:szCs w:val="22"/>
        </w:rPr>
        <w:t>ch uchazečů ve výzvách EDF</w:t>
      </w:r>
    </w:p>
    <w:p w:rsidR="006D4F24" w:rsidRDefault="00927FCA" w:rsidP="006D4F24">
      <w:pPr>
        <w:pStyle w:val="Zkladntext2"/>
        <w:tabs>
          <w:tab w:val="left" w:pos="2055"/>
          <w:tab w:val="left" w:pos="3898"/>
          <w:tab w:val="left" w:pos="5740"/>
          <w:tab w:val="left" w:pos="7583"/>
        </w:tabs>
        <w:spacing w:line="276" w:lineRule="auto"/>
        <w:jc w:val="both"/>
        <w:rPr>
          <w:rFonts w:ascii="Arial" w:hAnsi="Arial" w:cs="Arial"/>
          <w:sz w:val="22"/>
          <w:szCs w:val="22"/>
        </w:rPr>
      </w:pPr>
      <w:r>
        <w:rPr>
          <w:rFonts w:ascii="Arial" w:hAnsi="Arial" w:cs="Arial"/>
          <w:sz w:val="22"/>
          <w:szCs w:val="22"/>
        </w:rPr>
        <w:t xml:space="preserve">2) </w:t>
      </w:r>
      <w:r w:rsidR="006D4F24" w:rsidRPr="006D4F24">
        <w:rPr>
          <w:rFonts w:ascii="Arial" w:hAnsi="Arial" w:cs="Arial"/>
          <w:sz w:val="22"/>
          <w:szCs w:val="22"/>
        </w:rPr>
        <w:t>Národní veřejné soutěže v obranném výzkumu</w:t>
      </w:r>
    </w:p>
    <w:p w:rsidR="006D4F24" w:rsidRPr="005D1545" w:rsidRDefault="006D4F24" w:rsidP="004458C2">
      <w:pPr>
        <w:spacing w:after="240" w:line="276" w:lineRule="auto"/>
        <w:jc w:val="both"/>
        <w:outlineLvl w:val="0"/>
        <w:rPr>
          <w:rFonts w:ascii="Arial" w:hAnsi="Arial" w:cs="Arial"/>
          <w:sz w:val="22"/>
          <w:szCs w:val="22"/>
        </w:rPr>
      </w:pPr>
    </w:p>
    <w:p w:rsidR="00991C33" w:rsidRPr="005D1545" w:rsidRDefault="00991C33" w:rsidP="004458C2">
      <w:pPr>
        <w:pStyle w:val="Zkladntext2"/>
        <w:spacing w:after="240" w:line="276" w:lineRule="auto"/>
        <w:jc w:val="both"/>
        <w:outlineLvl w:val="0"/>
        <w:rPr>
          <w:rFonts w:ascii="Arial" w:hAnsi="Arial" w:cs="Arial"/>
          <w:i/>
          <w:sz w:val="22"/>
          <w:szCs w:val="22"/>
        </w:rPr>
      </w:pPr>
      <w:r w:rsidRPr="005D1545">
        <w:rPr>
          <w:rFonts w:ascii="Arial" w:hAnsi="Arial" w:cs="Arial"/>
          <w:sz w:val="22"/>
          <w:szCs w:val="22"/>
          <w:u w:val="single"/>
        </w:rPr>
        <w:t>Identifikační kód programu</w:t>
      </w:r>
      <w:r w:rsidR="00392577">
        <w:rPr>
          <w:rFonts w:ascii="Arial" w:hAnsi="Arial" w:cs="Arial"/>
          <w:sz w:val="22"/>
          <w:szCs w:val="22"/>
        </w:rPr>
        <w:t>: OZ</w:t>
      </w:r>
    </w:p>
    <w:p w:rsidR="009A0D19" w:rsidRPr="005D1545" w:rsidRDefault="008A77EA" w:rsidP="004458C2">
      <w:pPr>
        <w:spacing w:before="60" w:after="240" w:line="276" w:lineRule="auto"/>
        <w:jc w:val="both"/>
        <w:rPr>
          <w:rFonts w:ascii="Arial" w:hAnsi="Arial" w:cs="Arial"/>
          <w:sz w:val="22"/>
          <w:szCs w:val="22"/>
        </w:rPr>
      </w:pPr>
      <w:r w:rsidRPr="005D1545">
        <w:rPr>
          <w:rFonts w:ascii="Arial" w:hAnsi="Arial" w:cs="Arial"/>
          <w:sz w:val="22"/>
          <w:szCs w:val="22"/>
          <w:u w:val="single"/>
        </w:rPr>
        <w:t>D</w:t>
      </w:r>
      <w:r w:rsidR="009A0D19" w:rsidRPr="005D1545">
        <w:rPr>
          <w:rFonts w:ascii="Arial" w:hAnsi="Arial" w:cs="Arial"/>
          <w:sz w:val="22"/>
          <w:szCs w:val="22"/>
          <w:u w:val="single"/>
        </w:rPr>
        <w:t>oba trvání programu</w:t>
      </w:r>
      <w:r w:rsidRPr="005D1545">
        <w:rPr>
          <w:rFonts w:ascii="Arial" w:hAnsi="Arial" w:cs="Arial"/>
          <w:sz w:val="22"/>
          <w:szCs w:val="22"/>
          <w:u w:val="single"/>
        </w:rPr>
        <w:t xml:space="preserve">: </w:t>
      </w:r>
      <w:r w:rsidRPr="005D1545">
        <w:rPr>
          <w:rFonts w:ascii="Arial" w:hAnsi="Arial" w:cs="Arial"/>
          <w:sz w:val="22"/>
          <w:szCs w:val="22"/>
        </w:rPr>
        <w:t>stanovena na období od roku</w:t>
      </w:r>
      <w:r w:rsidRPr="005D1545">
        <w:rPr>
          <w:sz w:val="22"/>
          <w:szCs w:val="22"/>
        </w:rPr>
        <w:t xml:space="preserve"> </w:t>
      </w:r>
      <w:r w:rsidR="00627B43">
        <w:rPr>
          <w:rFonts w:ascii="Arial" w:hAnsi="Arial" w:cs="Arial"/>
          <w:sz w:val="22"/>
          <w:szCs w:val="22"/>
        </w:rPr>
        <w:t>2024 až 203</w:t>
      </w:r>
      <w:r w:rsidR="00B678A3">
        <w:rPr>
          <w:rFonts w:ascii="Arial" w:hAnsi="Arial" w:cs="Arial"/>
          <w:sz w:val="22"/>
          <w:szCs w:val="22"/>
        </w:rPr>
        <w:t>1</w:t>
      </w:r>
      <w:r w:rsidR="00627B43">
        <w:rPr>
          <w:rFonts w:ascii="Arial" w:hAnsi="Arial" w:cs="Arial"/>
          <w:sz w:val="22"/>
          <w:szCs w:val="22"/>
        </w:rPr>
        <w:t xml:space="preserve">, tj. </w:t>
      </w:r>
      <w:r w:rsidR="00B678A3">
        <w:rPr>
          <w:rFonts w:ascii="Arial" w:hAnsi="Arial" w:cs="Arial"/>
          <w:sz w:val="22"/>
          <w:szCs w:val="22"/>
        </w:rPr>
        <w:t>8</w:t>
      </w:r>
      <w:r w:rsidR="009A0D19" w:rsidRPr="005D1545">
        <w:rPr>
          <w:rFonts w:ascii="Arial" w:hAnsi="Arial" w:cs="Arial"/>
          <w:sz w:val="22"/>
          <w:szCs w:val="22"/>
        </w:rPr>
        <w:t xml:space="preserve"> let. </w:t>
      </w:r>
    </w:p>
    <w:p w:rsidR="008A77EA" w:rsidRPr="005D1545" w:rsidRDefault="008A77EA" w:rsidP="004458C2">
      <w:pPr>
        <w:spacing w:before="60" w:after="240" w:line="276" w:lineRule="auto"/>
        <w:jc w:val="both"/>
        <w:rPr>
          <w:rFonts w:ascii="Arial" w:hAnsi="Arial" w:cs="Arial"/>
          <w:sz w:val="22"/>
          <w:szCs w:val="22"/>
        </w:rPr>
      </w:pPr>
      <w:r w:rsidRPr="005D1545">
        <w:rPr>
          <w:rFonts w:ascii="Arial" w:hAnsi="Arial" w:cs="Arial"/>
          <w:sz w:val="22"/>
          <w:szCs w:val="22"/>
        </w:rPr>
        <w:t xml:space="preserve">Minimální a maximální doba realizace schválených projektů bude zohledňovat rozdílný charakter realizovaných potřeb. Doba realizace nesmí přesáhnout </w:t>
      </w:r>
      <w:r w:rsidR="004E742A">
        <w:rPr>
          <w:rFonts w:ascii="Arial" w:hAnsi="Arial" w:cs="Arial"/>
          <w:sz w:val="22"/>
          <w:szCs w:val="22"/>
        </w:rPr>
        <w:t>dobu trvání P</w:t>
      </w:r>
      <w:r w:rsidRPr="005D1545">
        <w:rPr>
          <w:rFonts w:ascii="Arial" w:hAnsi="Arial" w:cs="Arial"/>
          <w:sz w:val="22"/>
          <w:szCs w:val="22"/>
        </w:rPr>
        <w:t>rogramu.</w:t>
      </w:r>
      <w:r w:rsidR="00627B43" w:rsidRPr="00627B43">
        <w:t xml:space="preserve"> </w:t>
      </w:r>
      <w:r w:rsidR="00862806">
        <w:rPr>
          <w:rFonts w:ascii="Arial" w:hAnsi="Arial" w:cs="Arial"/>
          <w:sz w:val="22"/>
          <w:szCs w:val="22"/>
        </w:rPr>
        <w:t>První veřejná soutěž v P</w:t>
      </w:r>
      <w:r w:rsidR="00627B43" w:rsidRPr="00627B43">
        <w:rPr>
          <w:rFonts w:ascii="Arial" w:hAnsi="Arial" w:cs="Arial"/>
          <w:sz w:val="22"/>
          <w:szCs w:val="22"/>
        </w:rPr>
        <w:t>odprogramu 2 bude vyhlášena v roce 2024. Následně se předpokládá v</w:t>
      </w:r>
      <w:r w:rsidR="00862806">
        <w:rPr>
          <w:rFonts w:ascii="Arial" w:hAnsi="Arial" w:cs="Arial"/>
          <w:sz w:val="22"/>
          <w:szCs w:val="22"/>
        </w:rPr>
        <w:t>yhlašování veřejných soutěží v P</w:t>
      </w:r>
      <w:r w:rsidR="00627B43" w:rsidRPr="00627B43">
        <w:rPr>
          <w:rFonts w:ascii="Arial" w:hAnsi="Arial" w:cs="Arial"/>
          <w:sz w:val="22"/>
          <w:szCs w:val="22"/>
        </w:rPr>
        <w:t>odprogramu 2 v letech 202</w:t>
      </w:r>
      <w:r w:rsidR="00B64455">
        <w:rPr>
          <w:rFonts w:ascii="Arial" w:hAnsi="Arial" w:cs="Arial"/>
          <w:sz w:val="22"/>
          <w:szCs w:val="22"/>
        </w:rPr>
        <w:t>6, 2028, 2030. Vyhlášení veřejných soutěží</w:t>
      </w:r>
      <w:r w:rsidR="004E742A">
        <w:rPr>
          <w:rFonts w:ascii="Arial" w:hAnsi="Arial" w:cs="Arial"/>
          <w:sz w:val="22"/>
          <w:szCs w:val="22"/>
        </w:rPr>
        <w:t xml:space="preserve"> na podporu projektů z P</w:t>
      </w:r>
      <w:r w:rsidR="00627B43" w:rsidRPr="00627B43">
        <w:rPr>
          <w:rFonts w:ascii="Arial" w:hAnsi="Arial" w:cs="Arial"/>
          <w:sz w:val="22"/>
          <w:szCs w:val="22"/>
        </w:rPr>
        <w:t>odprogramu 1 bude termínově záviset na vyhlašování výzev z Evropského obranného fondu a jemu navazujících programů (dále jen “EDF”).</w:t>
      </w:r>
    </w:p>
    <w:p w:rsidR="008673E6" w:rsidRPr="005D1545" w:rsidRDefault="00370A46" w:rsidP="004458C2">
      <w:pPr>
        <w:pStyle w:val="Zkladntext"/>
        <w:numPr>
          <w:ilvl w:val="0"/>
          <w:numId w:val="2"/>
        </w:numPr>
        <w:spacing w:after="240" w:line="276" w:lineRule="auto"/>
        <w:jc w:val="both"/>
        <w:rPr>
          <w:rFonts w:ascii="Arial" w:hAnsi="Arial" w:cs="Arial"/>
          <w:sz w:val="22"/>
          <w:szCs w:val="22"/>
          <w:u w:val="single"/>
        </w:rPr>
      </w:pPr>
      <w:r w:rsidRPr="005D1545">
        <w:rPr>
          <w:rFonts w:ascii="Arial" w:hAnsi="Arial" w:cs="Arial"/>
          <w:sz w:val="22"/>
          <w:szCs w:val="22"/>
          <w:u w:val="single"/>
        </w:rPr>
        <w:t xml:space="preserve">celkové </w:t>
      </w:r>
      <w:r w:rsidR="008A77EA" w:rsidRPr="005D1545">
        <w:rPr>
          <w:rFonts w:ascii="Arial" w:hAnsi="Arial" w:cs="Arial"/>
          <w:sz w:val="22"/>
          <w:szCs w:val="22"/>
          <w:u w:val="single"/>
        </w:rPr>
        <w:t>výdaje na uskutečnění programu</w:t>
      </w:r>
      <w:r w:rsidRPr="005D1545">
        <w:rPr>
          <w:rFonts w:ascii="Arial" w:hAnsi="Arial" w:cs="Arial"/>
          <w:sz w:val="22"/>
          <w:szCs w:val="22"/>
          <w:u w:val="single"/>
        </w:rPr>
        <w:t xml:space="preserve">, z toho </w:t>
      </w:r>
      <w:r w:rsidR="005D1545">
        <w:rPr>
          <w:rFonts w:ascii="Arial" w:hAnsi="Arial" w:cs="Arial"/>
          <w:sz w:val="22"/>
          <w:szCs w:val="22"/>
          <w:u w:val="single"/>
        </w:rPr>
        <w:t>výdaje z veřejných prostředků s </w:t>
      </w:r>
      <w:r w:rsidRPr="005D1545">
        <w:rPr>
          <w:rFonts w:ascii="Arial" w:hAnsi="Arial" w:cs="Arial"/>
          <w:sz w:val="22"/>
          <w:szCs w:val="22"/>
          <w:u w:val="single"/>
        </w:rPr>
        <w:t>uvedením výdajů státního rozpočtu, a jejich členění v jednotlivých letech:</w:t>
      </w:r>
    </w:p>
    <w:p w:rsidR="00C92B78" w:rsidRDefault="00627B43" w:rsidP="004458C2">
      <w:pPr>
        <w:pStyle w:val="Zkladntext2"/>
        <w:tabs>
          <w:tab w:val="left" w:pos="2055"/>
          <w:tab w:val="left" w:pos="3898"/>
          <w:tab w:val="left" w:pos="5740"/>
          <w:tab w:val="left" w:pos="7583"/>
        </w:tabs>
        <w:spacing w:after="240" w:line="276" w:lineRule="auto"/>
        <w:jc w:val="both"/>
        <w:rPr>
          <w:rFonts w:ascii="Arial" w:hAnsi="Arial" w:cs="Arial"/>
          <w:sz w:val="22"/>
          <w:szCs w:val="22"/>
        </w:rPr>
      </w:pPr>
      <w:r w:rsidRPr="00627B43">
        <w:rPr>
          <w:rFonts w:ascii="Arial" w:hAnsi="Arial" w:cs="Arial"/>
          <w:sz w:val="22"/>
          <w:szCs w:val="22"/>
        </w:rPr>
        <w:t>Celkov</w:t>
      </w:r>
      <w:r w:rsidR="00862806">
        <w:rPr>
          <w:rFonts w:ascii="Arial" w:hAnsi="Arial" w:cs="Arial"/>
          <w:sz w:val="22"/>
          <w:szCs w:val="22"/>
        </w:rPr>
        <w:t>é výdaje jsou na období trvání P</w:t>
      </w:r>
      <w:r w:rsidRPr="00627B43">
        <w:rPr>
          <w:rFonts w:ascii="Arial" w:hAnsi="Arial" w:cs="Arial"/>
          <w:sz w:val="22"/>
          <w:szCs w:val="22"/>
        </w:rPr>
        <w:t>rogramu stanoveny na základě absorpční kapacity. Ta byla vypočtena v souladu se zkušenostmi s realizací podobných programů na podporu aplikovaného výzkumu a inovací v obranném pr</w:t>
      </w:r>
      <w:r>
        <w:rPr>
          <w:rFonts w:ascii="Arial" w:hAnsi="Arial" w:cs="Arial"/>
          <w:sz w:val="22"/>
          <w:szCs w:val="22"/>
        </w:rPr>
        <w:t>ůmyslu na národní úrovni, též s </w:t>
      </w:r>
      <w:r w:rsidRPr="00627B43">
        <w:rPr>
          <w:rFonts w:ascii="Arial" w:hAnsi="Arial" w:cs="Arial"/>
          <w:sz w:val="22"/>
          <w:szCs w:val="22"/>
        </w:rPr>
        <w:t xml:space="preserve">předpokládanou realizací projektů financovaných z </w:t>
      </w:r>
      <w:r w:rsidR="004E742A">
        <w:rPr>
          <w:rFonts w:ascii="Arial" w:hAnsi="Arial" w:cs="Arial"/>
          <w:sz w:val="22"/>
          <w:szCs w:val="22"/>
        </w:rPr>
        <w:t>EDF</w:t>
      </w:r>
      <w:r w:rsidRPr="00627B43">
        <w:rPr>
          <w:rFonts w:ascii="Arial" w:hAnsi="Arial" w:cs="Arial"/>
          <w:sz w:val="22"/>
          <w:szCs w:val="22"/>
        </w:rPr>
        <w:t xml:space="preserve"> formou národního dofinancování. Celkové výdaje jsou rozloženy v letech dle předpokládaného postupného vyhlašování veřejných soutěží ve výzkumu, vývoj</w:t>
      </w:r>
      <w:r w:rsidR="00B64455">
        <w:rPr>
          <w:rFonts w:ascii="Arial" w:hAnsi="Arial" w:cs="Arial"/>
          <w:sz w:val="22"/>
          <w:szCs w:val="22"/>
        </w:rPr>
        <w:t>i a inovacích.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9B5D3A" w:rsidRPr="00BA75F4" w:rsidTr="00976CB0">
        <w:trPr>
          <w:trHeight w:val="1530"/>
        </w:trPr>
        <w:tc>
          <w:tcPr>
            <w:tcW w:w="9072" w:type="dxa"/>
            <w:tcBorders>
              <w:top w:val="nil"/>
              <w:left w:val="nil"/>
              <w:bottom w:val="nil"/>
              <w:right w:val="nil"/>
            </w:tcBorders>
            <w:shd w:val="clear" w:color="auto" w:fill="auto"/>
          </w:tcPr>
          <w:p w:rsidR="00EF1C05" w:rsidRPr="00BA75F4" w:rsidRDefault="00EF1C05" w:rsidP="004458C2">
            <w:pPr>
              <w:pStyle w:val="Zkladntext2"/>
              <w:tabs>
                <w:tab w:val="left" w:pos="2055"/>
                <w:tab w:val="left" w:pos="3898"/>
                <w:tab w:val="left" w:pos="5740"/>
                <w:tab w:val="left" w:pos="7583"/>
              </w:tabs>
              <w:spacing w:line="276" w:lineRule="auto"/>
              <w:rPr>
                <w:rFonts w:ascii="Arial" w:hAnsi="Arial" w:cs="Arial"/>
                <w:sz w:val="22"/>
                <w:szCs w:val="22"/>
              </w:rPr>
            </w:pPr>
          </w:p>
          <w:p w:rsidR="009B5D3A" w:rsidRDefault="00627B43" w:rsidP="004458C2">
            <w:pPr>
              <w:pStyle w:val="Zkladntext2"/>
              <w:tabs>
                <w:tab w:val="left" w:pos="2055"/>
                <w:tab w:val="left" w:pos="3898"/>
                <w:tab w:val="left" w:pos="5740"/>
                <w:tab w:val="left" w:pos="7583"/>
              </w:tabs>
              <w:spacing w:line="276" w:lineRule="auto"/>
              <w:rPr>
                <w:rFonts w:ascii="Arial" w:hAnsi="Arial" w:cs="Arial"/>
                <w:b/>
                <w:sz w:val="22"/>
                <w:szCs w:val="22"/>
              </w:rPr>
            </w:pPr>
            <w:r w:rsidRPr="00BA75F4">
              <w:rPr>
                <w:rFonts w:ascii="Arial" w:hAnsi="Arial" w:cs="Arial"/>
                <w:b/>
                <w:sz w:val="22"/>
                <w:szCs w:val="22"/>
              </w:rPr>
              <w:t>Tabulka 1: Plánované výdaje na program PRODEF (v mil. Kč)</w:t>
            </w:r>
          </w:p>
          <w:p w:rsidR="00976CB0" w:rsidRDefault="00976CB0" w:rsidP="004458C2">
            <w:pPr>
              <w:pStyle w:val="Zkladntext2"/>
              <w:tabs>
                <w:tab w:val="left" w:pos="2055"/>
                <w:tab w:val="left" w:pos="3898"/>
                <w:tab w:val="left" w:pos="5740"/>
                <w:tab w:val="left" w:pos="7583"/>
              </w:tabs>
              <w:spacing w:line="276" w:lineRule="auto"/>
              <w:rPr>
                <w:rFonts w:ascii="Arial" w:hAnsi="Arial" w:cs="Arial"/>
                <w:b/>
                <w:sz w:val="22"/>
                <w:szCs w:val="22"/>
              </w:rPr>
            </w:pPr>
          </w:p>
          <w:p w:rsidR="00976CB0" w:rsidRPr="00BA75F4" w:rsidRDefault="00976CB0" w:rsidP="004458C2">
            <w:pPr>
              <w:pStyle w:val="Zkladntext2"/>
              <w:tabs>
                <w:tab w:val="left" w:pos="2055"/>
                <w:tab w:val="left" w:pos="3898"/>
                <w:tab w:val="left" w:pos="5740"/>
                <w:tab w:val="left" w:pos="7583"/>
              </w:tabs>
              <w:spacing w:line="276" w:lineRule="auto"/>
              <w:rPr>
                <w:rFonts w:ascii="Arial" w:hAnsi="Arial" w:cs="Arial"/>
                <w:b/>
                <w:sz w:val="22"/>
                <w:szCs w:val="22"/>
              </w:rPr>
            </w:pPr>
            <w:r>
              <w:rPr>
                <w:rFonts w:ascii="Arial" w:hAnsi="Arial" w:cs="Arial"/>
                <w:noProof/>
                <w:sz w:val="22"/>
                <w:szCs w:val="22"/>
              </w:rPr>
              <w:drawing>
                <wp:inline distT="0" distB="0" distL="0" distR="0" wp14:anchorId="0BFD7D34" wp14:editId="16B8FDD9">
                  <wp:extent cx="5547815" cy="98046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7578" cy="983960"/>
                          </a:xfrm>
                          <a:prstGeom prst="rect">
                            <a:avLst/>
                          </a:prstGeom>
                          <a:noFill/>
                          <a:ln>
                            <a:noFill/>
                          </a:ln>
                        </pic:spPr>
                      </pic:pic>
                    </a:graphicData>
                  </a:graphic>
                </wp:inline>
              </w:drawing>
            </w:r>
          </w:p>
          <w:p w:rsidR="006859DC" w:rsidRPr="00BA75F4" w:rsidRDefault="006859DC" w:rsidP="006859DC">
            <w:pPr>
              <w:pStyle w:val="Zkladntext2"/>
              <w:tabs>
                <w:tab w:val="left" w:pos="2055"/>
                <w:tab w:val="left" w:pos="3898"/>
                <w:tab w:val="left" w:pos="5740"/>
                <w:tab w:val="left" w:pos="7583"/>
              </w:tabs>
              <w:spacing w:line="276" w:lineRule="auto"/>
              <w:rPr>
                <w:rFonts w:ascii="Arial" w:hAnsi="Arial" w:cs="Arial"/>
                <w:sz w:val="18"/>
                <w:szCs w:val="18"/>
              </w:rPr>
            </w:pPr>
          </w:p>
          <w:p w:rsidR="006859DC" w:rsidRDefault="006859DC" w:rsidP="006859DC">
            <w:pPr>
              <w:pStyle w:val="Zkladntext2"/>
              <w:tabs>
                <w:tab w:val="left" w:pos="2055"/>
                <w:tab w:val="left" w:pos="3898"/>
                <w:tab w:val="left" w:pos="5740"/>
                <w:tab w:val="left" w:pos="7583"/>
              </w:tabs>
              <w:spacing w:line="276" w:lineRule="auto"/>
              <w:rPr>
                <w:rFonts w:ascii="Arial" w:hAnsi="Arial" w:cs="Arial"/>
                <w:i/>
                <w:sz w:val="22"/>
                <w:szCs w:val="22"/>
              </w:rPr>
            </w:pPr>
          </w:p>
          <w:p w:rsidR="00976CB0" w:rsidRPr="00BA75F4" w:rsidRDefault="00976CB0" w:rsidP="006859DC">
            <w:pPr>
              <w:pStyle w:val="Zkladntext2"/>
              <w:tabs>
                <w:tab w:val="left" w:pos="2055"/>
                <w:tab w:val="left" w:pos="3898"/>
                <w:tab w:val="left" w:pos="5740"/>
                <w:tab w:val="left" w:pos="7583"/>
              </w:tabs>
              <w:spacing w:line="276" w:lineRule="auto"/>
              <w:rPr>
                <w:rFonts w:ascii="Arial" w:hAnsi="Arial" w:cs="Arial"/>
                <w:i/>
                <w:sz w:val="22"/>
                <w:szCs w:val="22"/>
              </w:rPr>
            </w:pPr>
          </w:p>
          <w:p w:rsidR="00BA75F4" w:rsidRPr="00BA75F4" w:rsidRDefault="00BA75F4" w:rsidP="00BA75F4">
            <w:pPr>
              <w:pStyle w:val="Zkladntext2"/>
              <w:tabs>
                <w:tab w:val="left" w:pos="2055"/>
                <w:tab w:val="left" w:pos="3898"/>
                <w:tab w:val="left" w:pos="5740"/>
                <w:tab w:val="left" w:pos="7583"/>
              </w:tabs>
              <w:spacing w:line="276" w:lineRule="auto"/>
              <w:rPr>
                <w:rFonts w:ascii="Arial" w:hAnsi="Arial" w:cs="Arial"/>
                <w:b/>
                <w:sz w:val="22"/>
                <w:szCs w:val="22"/>
              </w:rPr>
            </w:pPr>
            <w:r>
              <w:rPr>
                <w:rFonts w:ascii="Arial" w:hAnsi="Arial" w:cs="Arial"/>
                <w:b/>
                <w:sz w:val="22"/>
                <w:szCs w:val="22"/>
              </w:rPr>
              <w:lastRenderedPageBreak/>
              <w:t>Tabulka č. 2</w:t>
            </w:r>
            <w:r w:rsidRPr="00BA75F4">
              <w:rPr>
                <w:rFonts w:ascii="Arial" w:hAnsi="Arial" w:cs="Arial"/>
                <w:b/>
                <w:sz w:val="22"/>
                <w:szCs w:val="22"/>
              </w:rPr>
              <w:t>: Plánované výdaje na PP1 (v mil. Kč)</w:t>
            </w:r>
          </w:p>
          <w:p w:rsidR="00EF1C05" w:rsidRPr="00BA75F4" w:rsidRDefault="00EF1C05" w:rsidP="004458C2">
            <w:pPr>
              <w:pStyle w:val="Zkladntext2"/>
              <w:tabs>
                <w:tab w:val="left" w:pos="2055"/>
                <w:tab w:val="left" w:pos="3898"/>
                <w:tab w:val="left" w:pos="5740"/>
                <w:tab w:val="left" w:pos="7583"/>
              </w:tabs>
              <w:spacing w:line="276" w:lineRule="auto"/>
              <w:rPr>
                <w:rFonts w:ascii="Arial" w:hAnsi="Arial" w:cs="Arial"/>
                <w:sz w:val="22"/>
                <w:szCs w:val="22"/>
              </w:rPr>
            </w:pPr>
          </w:p>
          <w:tbl>
            <w:tblPr>
              <w:tblW w:w="865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253"/>
              <w:gridCol w:w="763"/>
              <w:gridCol w:w="685"/>
              <w:gridCol w:w="699"/>
              <w:gridCol w:w="699"/>
              <w:gridCol w:w="699"/>
              <w:gridCol w:w="685"/>
              <w:gridCol w:w="699"/>
              <w:gridCol w:w="685"/>
              <w:gridCol w:w="792"/>
            </w:tblGrid>
            <w:tr w:rsidR="00976CB0" w:rsidTr="00976CB0">
              <w:trPr>
                <w:trHeight w:val="391"/>
                <w:jc w:val="center"/>
              </w:trPr>
              <w:tc>
                <w:tcPr>
                  <w:tcW w:w="225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bookmarkStart w:id="0" w:name="_GoBack"/>
                  <w:bookmarkEnd w:id="0"/>
                  <w:r w:rsidRPr="00976CB0">
                    <w:rPr>
                      <w:rFonts w:ascii="Arial" w:eastAsia="Arial" w:hAnsi="Arial" w:cs="Arial"/>
                      <w:b/>
                      <w:sz w:val="20"/>
                      <w:szCs w:val="20"/>
                    </w:rPr>
                    <w:t>Podpora</w:t>
                  </w:r>
                </w:p>
              </w:tc>
              <w:tc>
                <w:tcPr>
                  <w:tcW w:w="76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2024</w:t>
                  </w:r>
                </w:p>
              </w:tc>
              <w:tc>
                <w:tcPr>
                  <w:tcW w:w="68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2025</w:t>
                  </w:r>
                </w:p>
              </w:tc>
              <w:tc>
                <w:tcPr>
                  <w:tcW w:w="69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2026</w:t>
                  </w:r>
                </w:p>
              </w:tc>
              <w:tc>
                <w:tcPr>
                  <w:tcW w:w="69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2027</w:t>
                  </w:r>
                </w:p>
              </w:tc>
              <w:tc>
                <w:tcPr>
                  <w:tcW w:w="69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2028</w:t>
                  </w:r>
                </w:p>
              </w:tc>
              <w:tc>
                <w:tcPr>
                  <w:tcW w:w="68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2029</w:t>
                  </w:r>
                </w:p>
              </w:tc>
              <w:tc>
                <w:tcPr>
                  <w:tcW w:w="69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2030</w:t>
                  </w:r>
                </w:p>
              </w:tc>
              <w:tc>
                <w:tcPr>
                  <w:tcW w:w="68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2031</w:t>
                  </w:r>
                </w:p>
              </w:tc>
              <w:tc>
                <w:tcPr>
                  <w:tcW w:w="79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Celkem</w:t>
                  </w:r>
                </w:p>
              </w:tc>
            </w:tr>
            <w:tr w:rsidR="00976CB0" w:rsidTr="00976CB0">
              <w:trPr>
                <w:trHeight w:val="287"/>
                <w:jc w:val="center"/>
              </w:trPr>
              <w:tc>
                <w:tcPr>
                  <w:tcW w:w="225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ind w:left="57"/>
                    <w:rPr>
                      <w:rFonts w:ascii="Arial" w:eastAsia="Arial" w:hAnsi="Arial" w:cs="Arial"/>
                      <w:b/>
                      <w:sz w:val="20"/>
                      <w:szCs w:val="20"/>
                    </w:rPr>
                  </w:pPr>
                  <w:r w:rsidRPr="00976CB0">
                    <w:rPr>
                      <w:rFonts w:ascii="Arial" w:eastAsia="Arial" w:hAnsi="Arial" w:cs="Arial"/>
                      <w:b/>
                      <w:sz w:val="20"/>
                      <w:szCs w:val="20"/>
                    </w:rPr>
                    <w:t>Celkem za program</w:t>
                  </w:r>
                </w:p>
              </w:tc>
              <w:tc>
                <w:tcPr>
                  <w:tcW w:w="76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0,0</w:t>
                  </w:r>
                </w:p>
              </w:tc>
              <w:tc>
                <w:tcPr>
                  <w:tcW w:w="6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252,0</w:t>
                  </w:r>
                </w:p>
              </w:tc>
              <w:tc>
                <w:tcPr>
                  <w:tcW w:w="6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540,0</w:t>
                  </w:r>
                </w:p>
              </w:tc>
              <w:tc>
                <w:tcPr>
                  <w:tcW w:w="6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804,0</w:t>
                  </w:r>
                </w:p>
              </w:tc>
              <w:tc>
                <w:tcPr>
                  <w:tcW w:w="6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912,0</w:t>
                  </w:r>
                </w:p>
              </w:tc>
              <w:tc>
                <w:tcPr>
                  <w:tcW w:w="6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876,0</w:t>
                  </w:r>
                </w:p>
              </w:tc>
              <w:tc>
                <w:tcPr>
                  <w:tcW w:w="6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624,0</w:t>
                  </w:r>
                </w:p>
              </w:tc>
              <w:tc>
                <w:tcPr>
                  <w:tcW w:w="6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312,0</w:t>
                  </w:r>
                </w:p>
              </w:tc>
              <w:tc>
                <w:tcPr>
                  <w:tcW w:w="79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4 320,0</w:t>
                  </w:r>
                </w:p>
              </w:tc>
            </w:tr>
            <w:tr w:rsidR="00976CB0" w:rsidTr="00976CB0">
              <w:trPr>
                <w:trHeight w:val="376"/>
                <w:jc w:val="center"/>
              </w:trPr>
              <w:tc>
                <w:tcPr>
                  <w:tcW w:w="225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ind w:left="57"/>
                    <w:rPr>
                      <w:rFonts w:ascii="Arial" w:eastAsia="Arial" w:hAnsi="Arial" w:cs="Arial"/>
                      <w:b/>
                      <w:sz w:val="20"/>
                      <w:szCs w:val="20"/>
                    </w:rPr>
                  </w:pPr>
                  <w:r w:rsidRPr="00976CB0">
                    <w:rPr>
                      <w:rFonts w:ascii="Arial" w:eastAsia="Arial" w:hAnsi="Arial" w:cs="Arial"/>
                      <w:b/>
                      <w:sz w:val="20"/>
                      <w:szCs w:val="20"/>
                    </w:rPr>
                    <w:t>Podpora ze SR</w:t>
                  </w:r>
                </w:p>
              </w:tc>
              <w:tc>
                <w:tcPr>
                  <w:tcW w:w="76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0,0</w:t>
                  </w:r>
                </w:p>
              </w:tc>
              <w:tc>
                <w:tcPr>
                  <w:tcW w:w="6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126,0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270,0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402,0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456,0</w:t>
                  </w:r>
                </w:p>
              </w:tc>
              <w:tc>
                <w:tcPr>
                  <w:tcW w:w="6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438,0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312,0</w:t>
                  </w:r>
                </w:p>
              </w:tc>
              <w:tc>
                <w:tcPr>
                  <w:tcW w:w="6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156,0</w:t>
                  </w:r>
                </w:p>
              </w:tc>
              <w:tc>
                <w:tcPr>
                  <w:tcW w:w="79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2 160,0</w:t>
                  </w:r>
                </w:p>
              </w:tc>
            </w:tr>
            <w:tr w:rsidR="00976CB0" w:rsidTr="00976CB0">
              <w:trPr>
                <w:trHeight w:val="250"/>
                <w:jc w:val="center"/>
              </w:trPr>
              <w:tc>
                <w:tcPr>
                  <w:tcW w:w="225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ind w:left="57"/>
                    <w:rPr>
                      <w:rFonts w:ascii="Arial" w:eastAsia="Arial" w:hAnsi="Arial" w:cs="Arial"/>
                      <w:b/>
                      <w:sz w:val="20"/>
                      <w:szCs w:val="20"/>
                    </w:rPr>
                  </w:pPr>
                  <w:r w:rsidRPr="00976CB0">
                    <w:rPr>
                      <w:rFonts w:ascii="Arial" w:eastAsia="Arial" w:hAnsi="Arial" w:cs="Arial"/>
                      <w:b/>
                      <w:sz w:val="20"/>
                      <w:szCs w:val="20"/>
                    </w:rPr>
                    <w:t>Ostatní zdroje</w:t>
                  </w:r>
                </w:p>
              </w:tc>
              <w:tc>
                <w:tcPr>
                  <w:tcW w:w="76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0,0</w:t>
                  </w:r>
                </w:p>
              </w:tc>
              <w:tc>
                <w:tcPr>
                  <w:tcW w:w="6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126,0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270,0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402,0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456,0</w:t>
                  </w:r>
                </w:p>
              </w:tc>
              <w:tc>
                <w:tcPr>
                  <w:tcW w:w="6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438,0</w:t>
                  </w:r>
                </w:p>
              </w:tc>
              <w:tc>
                <w:tcPr>
                  <w:tcW w:w="6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312,0</w:t>
                  </w:r>
                </w:p>
              </w:tc>
              <w:tc>
                <w:tcPr>
                  <w:tcW w:w="6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156,0</w:t>
                  </w:r>
                </w:p>
              </w:tc>
              <w:tc>
                <w:tcPr>
                  <w:tcW w:w="79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2 160,0</w:t>
                  </w:r>
                </w:p>
              </w:tc>
            </w:tr>
          </w:tbl>
          <w:p w:rsidR="00976CB0" w:rsidRPr="00BA75F4" w:rsidRDefault="00976CB0" w:rsidP="00BA75F4">
            <w:pPr>
              <w:keepNext/>
              <w:keepLines/>
              <w:spacing w:before="120" w:after="120" w:line="360" w:lineRule="auto"/>
              <w:jc w:val="both"/>
              <w:outlineLvl w:val="2"/>
              <w:rPr>
                <w:rFonts w:ascii="Arial" w:eastAsia="Cambria" w:hAnsi="Arial" w:cs="Arial"/>
              </w:rPr>
            </w:pPr>
          </w:p>
          <w:p w:rsidR="00BA75F4" w:rsidRDefault="00BA75F4" w:rsidP="00BA75F4">
            <w:pPr>
              <w:pStyle w:val="Zkladntext2"/>
              <w:tabs>
                <w:tab w:val="left" w:pos="2055"/>
                <w:tab w:val="left" w:pos="3898"/>
                <w:tab w:val="left" w:pos="5740"/>
                <w:tab w:val="left" w:pos="7583"/>
              </w:tabs>
              <w:spacing w:line="276" w:lineRule="auto"/>
              <w:rPr>
                <w:rFonts w:ascii="Arial" w:hAnsi="Arial" w:cs="Arial"/>
                <w:b/>
                <w:sz w:val="22"/>
                <w:szCs w:val="22"/>
              </w:rPr>
            </w:pPr>
            <w:r>
              <w:rPr>
                <w:rFonts w:ascii="Arial" w:hAnsi="Arial" w:cs="Arial"/>
                <w:b/>
                <w:sz w:val="22"/>
                <w:szCs w:val="22"/>
              </w:rPr>
              <w:t>Tabulka č. 3</w:t>
            </w:r>
            <w:r w:rsidRPr="00BA75F4">
              <w:rPr>
                <w:rFonts w:ascii="Arial" w:hAnsi="Arial" w:cs="Arial"/>
                <w:b/>
                <w:sz w:val="22"/>
                <w:szCs w:val="22"/>
              </w:rPr>
              <w:t xml:space="preserve">: Plánované výdaje </w:t>
            </w:r>
            <w:r>
              <w:rPr>
                <w:rFonts w:ascii="Arial" w:hAnsi="Arial" w:cs="Arial"/>
                <w:b/>
                <w:sz w:val="22"/>
                <w:szCs w:val="22"/>
              </w:rPr>
              <w:t xml:space="preserve">na </w:t>
            </w:r>
            <w:r w:rsidRPr="00BA75F4">
              <w:rPr>
                <w:rFonts w:ascii="Arial" w:hAnsi="Arial" w:cs="Arial"/>
                <w:b/>
                <w:sz w:val="22"/>
                <w:szCs w:val="22"/>
              </w:rPr>
              <w:t>PP2 (v mil. Kč)</w:t>
            </w:r>
          </w:p>
          <w:p w:rsidR="00BA75F4" w:rsidRDefault="00BA75F4" w:rsidP="00BA75F4">
            <w:pPr>
              <w:pStyle w:val="Zkladntext2"/>
              <w:tabs>
                <w:tab w:val="left" w:pos="2055"/>
                <w:tab w:val="left" w:pos="3898"/>
                <w:tab w:val="left" w:pos="5740"/>
                <w:tab w:val="left" w:pos="7583"/>
              </w:tabs>
              <w:spacing w:line="276" w:lineRule="auto"/>
              <w:rPr>
                <w:rFonts w:ascii="Arial" w:hAnsi="Arial" w:cs="Arial"/>
                <w:b/>
                <w:sz w:val="22"/>
                <w:szCs w:val="22"/>
              </w:rPr>
            </w:pPr>
          </w:p>
          <w:tbl>
            <w:tblPr>
              <w:tblW w:w="894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410"/>
              <w:gridCol w:w="792"/>
              <w:gridCol w:w="697"/>
              <w:gridCol w:w="713"/>
              <w:gridCol w:w="713"/>
              <w:gridCol w:w="713"/>
              <w:gridCol w:w="697"/>
              <w:gridCol w:w="713"/>
              <w:gridCol w:w="697"/>
              <w:gridCol w:w="798"/>
            </w:tblGrid>
            <w:tr w:rsidR="00976CB0" w:rsidTr="00976CB0">
              <w:trPr>
                <w:trHeight w:val="391"/>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Podpora</w:t>
                  </w:r>
                </w:p>
              </w:tc>
              <w:tc>
                <w:tcPr>
                  <w:tcW w:w="79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2024</w:t>
                  </w:r>
                </w:p>
              </w:tc>
              <w:tc>
                <w:tcPr>
                  <w:tcW w:w="6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2025</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2026</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2027</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2028</w:t>
                  </w:r>
                </w:p>
              </w:tc>
              <w:tc>
                <w:tcPr>
                  <w:tcW w:w="6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2029</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2030</w:t>
                  </w:r>
                </w:p>
              </w:tc>
              <w:tc>
                <w:tcPr>
                  <w:tcW w:w="6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2031</w:t>
                  </w:r>
                </w:p>
              </w:tc>
              <w:tc>
                <w:tcPr>
                  <w:tcW w:w="79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jc w:val="center"/>
                    <w:rPr>
                      <w:rFonts w:ascii="Arial" w:eastAsia="Arial" w:hAnsi="Arial" w:cs="Arial"/>
                      <w:b/>
                      <w:sz w:val="20"/>
                      <w:szCs w:val="20"/>
                    </w:rPr>
                  </w:pPr>
                  <w:r w:rsidRPr="00976CB0">
                    <w:rPr>
                      <w:rFonts w:ascii="Arial" w:eastAsia="Arial" w:hAnsi="Arial" w:cs="Arial"/>
                      <w:b/>
                      <w:sz w:val="20"/>
                      <w:szCs w:val="20"/>
                    </w:rPr>
                    <w:t>Celkem</w:t>
                  </w:r>
                </w:p>
              </w:tc>
            </w:tr>
            <w:tr w:rsidR="00976CB0" w:rsidTr="00976CB0">
              <w:trPr>
                <w:trHeight w:val="287"/>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ind w:left="57"/>
                    <w:rPr>
                      <w:rFonts w:ascii="Arial" w:eastAsia="Arial" w:hAnsi="Arial" w:cs="Arial"/>
                      <w:b/>
                      <w:sz w:val="20"/>
                      <w:szCs w:val="20"/>
                    </w:rPr>
                  </w:pPr>
                  <w:r w:rsidRPr="00976CB0">
                    <w:rPr>
                      <w:rFonts w:ascii="Arial" w:eastAsia="Arial" w:hAnsi="Arial" w:cs="Arial"/>
                      <w:b/>
                      <w:sz w:val="20"/>
                      <w:szCs w:val="20"/>
                    </w:rPr>
                    <w:t>Celkem za program</w:t>
                  </w:r>
                </w:p>
              </w:tc>
              <w:tc>
                <w:tcPr>
                  <w:tcW w:w="79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0,0</w:t>
                  </w:r>
                </w:p>
              </w:tc>
              <w:tc>
                <w:tcPr>
                  <w:tcW w:w="69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252,0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540,0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804,0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912,0</w:t>
                  </w:r>
                </w:p>
              </w:tc>
              <w:tc>
                <w:tcPr>
                  <w:tcW w:w="69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876,0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624,0</w:t>
                  </w:r>
                </w:p>
              </w:tc>
              <w:tc>
                <w:tcPr>
                  <w:tcW w:w="69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312,0</w:t>
                  </w:r>
                </w:p>
              </w:tc>
              <w:tc>
                <w:tcPr>
                  <w:tcW w:w="79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4 320,0</w:t>
                  </w:r>
                </w:p>
              </w:tc>
            </w:tr>
            <w:tr w:rsidR="00976CB0" w:rsidTr="00976CB0">
              <w:trPr>
                <w:trHeight w:val="376"/>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ind w:left="57"/>
                    <w:rPr>
                      <w:rFonts w:ascii="Arial" w:eastAsia="Arial" w:hAnsi="Arial" w:cs="Arial"/>
                      <w:b/>
                      <w:sz w:val="20"/>
                      <w:szCs w:val="20"/>
                    </w:rPr>
                  </w:pPr>
                  <w:r w:rsidRPr="00976CB0">
                    <w:rPr>
                      <w:rFonts w:ascii="Arial" w:eastAsia="Arial" w:hAnsi="Arial" w:cs="Arial"/>
                      <w:b/>
                      <w:sz w:val="20"/>
                      <w:szCs w:val="20"/>
                    </w:rPr>
                    <w:t>Podpora ze SR</w:t>
                  </w:r>
                </w:p>
              </w:tc>
              <w:tc>
                <w:tcPr>
                  <w:tcW w:w="79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0,0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126,0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270,0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402,0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456,0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438,0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312,0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156,0</w:t>
                  </w:r>
                </w:p>
              </w:tc>
              <w:tc>
                <w:tcPr>
                  <w:tcW w:w="79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2 160,0</w:t>
                  </w:r>
                </w:p>
              </w:tc>
            </w:tr>
            <w:tr w:rsidR="00976CB0" w:rsidTr="00976CB0">
              <w:trPr>
                <w:trHeight w:val="250"/>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976CB0" w:rsidRPr="00976CB0" w:rsidRDefault="00976CB0" w:rsidP="00976CB0">
                  <w:pPr>
                    <w:widowControl w:val="0"/>
                    <w:ind w:left="57"/>
                    <w:rPr>
                      <w:rFonts w:ascii="Arial" w:eastAsia="Arial" w:hAnsi="Arial" w:cs="Arial"/>
                      <w:b/>
                      <w:sz w:val="20"/>
                      <w:szCs w:val="20"/>
                    </w:rPr>
                  </w:pPr>
                  <w:r w:rsidRPr="00976CB0">
                    <w:rPr>
                      <w:rFonts w:ascii="Arial" w:eastAsia="Arial" w:hAnsi="Arial" w:cs="Arial"/>
                      <w:b/>
                      <w:sz w:val="20"/>
                      <w:szCs w:val="20"/>
                    </w:rPr>
                    <w:t>Ostatní zdroje</w:t>
                  </w:r>
                </w:p>
              </w:tc>
              <w:tc>
                <w:tcPr>
                  <w:tcW w:w="79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0,0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126,0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270,0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402,0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456,0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438,0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312,0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156,0</w:t>
                  </w:r>
                </w:p>
              </w:tc>
              <w:tc>
                <w:tcPr>
                  <w:tcW w:w="79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976CB0" w:rsidRPr="00976CB0" w:rsidRDefault="00976CB0" w:rsidP="00976CB0">
                  <w:pPr>
                    <w:widowControl w:val="0"/>
                    <w:jc w:val="right"/>
                    <w:rPr>
                      <w:rFonts w:ascii="Arial" w:eastAsia="Arial" w:hAnsi="Arial" w:cs="Arial"/>
                      <w:sz w:val="20"/>
                      <w:szCs w:val="20"/>
                    </w:rPr>
                  </w:pPr>
                  <w:r w:rsidRPr="00976CB0">
                    <w:rPr>
                      <w:rFonts w:ascii="Arial" w:eastAsia="Arial" w:hAnsi="Arial" w:cs="Arial"/>
                      <w:sz w:val="20"/>
                      <w:szCs w:val="20"/>
                    </w:rPr>
                    <w:t>2 160,0</w:t>
                  </w:r>
                </w:p>
              </w:tc>
            </w:tr>
          </w:tbl>
          <w:p w:rsidR="00976CB0" w:rsidRDefault="00976CB0" w:rsidP="00BA75F4">
            <w:pPr>
              <w:pStyle w:val="Zkladntext2"/>
              <w:tabs>
                <w:tab w:val="left" w:pos="2055"/>
                <w:tab w:val="left" w:pos="3898"/>
                <w:tab w:val="left" w:pos="5740"/>
                <w:tab w:val="left" w:pos="7583"/>
              </w:tabs>
              <w:spacing w:line="276" w:lineRule="auto"/>
              <w:rPr>
                <w:rFonts w:ascii="Arial" w:hAnsi="Arial" w:cs="Arial"/>
                <w:b/>
                <w:sz w:val="22"/>
                <w:szCs w:val="22"/>
              </w:rPr>
            </w:pPr>
          </w:p>
          <w:p w:rsidR="009B5D3A" w:rsidRPr="00BA75F4" w:rsidRDefault="009B5D3A" w:rsidP="004458C2">
            <w:pPr>
              <w:pStyle w:val="Zkladntext2"/>
              <w:tabs>
                <w:tab w:val="left" w:pos="2055"/>
                <w:tab w:val="left" w:pos="3898"/>
                <w:tab w:val="left" w:pos="5740"/>
                <w:tab w:val="left" w:pos="7583"/>
              </w:tabs>
              <w:spacing w:line="276" w:lineRule="auto"/>
              <w:rPr>
                <w:rFonts w:ascii="Arial" w:hAnsi="Arial" w:cs="Arial"/>
                <w:sz w:val="22"/>
                <w:szCs w:val="22"/>
              </w:rPr>
            </w:pPr>
          </w:p>
        </w:tc>
      </w:tr>
    </w:tbl>
    <w:p w:rsidR="000D09A5" w:rsidRPr="00B67FA7" w:rsidRDefault="000D09A5" w:rsidP="004458C2">
      <w:pPr>
        <w:autoSpaceDE w:val="0"/>
        <w:autoSpaceDN w:val="0"/>
        <w:adjustRightInd w:val="0"/>
        <w:spacing w:line="276" w:lineRule="auto"/>
        <w:jc w:val="both"/>
        <w:rPr>
          <w:rFonts w:ascii="Arial" w:eastAsiaTheme="minorHAnsi" w:hAnsi="Arial" w:cs="Arial"/>
          <w:sz w:val="22"/>
          <w:szCs w:val="22"/>
          <w:highlight w:val="yellow"/>
          <w:lang w:eastAsia="en-US"/>
        </w:rPr>
      </w:pPr>
    </w:p>
    <w:p w:rsidR="007877C3" w:rsidRPr="00BF65D3" w:rsidRDefault="001E4817" w:rsidP="004458C2">
      <w:pPr>
        <w:pStyle w:val="Zkladntext"/>
        <w:numPr>
          <w:ilvl w:val="0"/>
          <w:numId w:val="2"/>
        </w:numPr>
        <w:spacing w:before="60" w:after="240" w:line="276" w:lineRule="auto"/>
        <w:jc w:val="both"/>
        <w:rPr>
          <w:rFonts w:ascii="Arial" w:hAnsi="Arial" w:cs="Arial"/>
          <w:sz w:val="22"/>
          <w:szCs w:val="22"/>
        </w:rPr>
      </w:pPr>
      <w:r w:rsidRPr="00BF65D3">
        <w:rPr>
          <w:rFonts w:ascii="Arial" w:hAnsi="Arial" w:cs="Arial"/>
          <w:sz w:val="22"/>
          <w:szCs w:val="22"/>
          <w:u w:val="single"/>
        </w:rPr>
        <w:t>V</w:t>
      </w:r>
      <w:r w:rsidR="00330661" w:rsidRPr="00BF65D3">
        <w:rPr>
          <w:rFonts w:ascii="Arial" w:hAnsi="Arial" w:cs="Arial"/>
          <w:sz w:val="22"/>
          <w:szCs w:val="22"/>
          <w:u w:val="single"/>
        </w:rPr>
        <w:t>ymezení způsobilých nákladů</w:t>
      </w:r>
    </w:p>
    <w:p w:rsidR="00BF65D3" w:rsidRPr="00BF65D3" w:rsidRDefault="00BF65D3" w:rsidP="00BF65D3">
      <w:pPr>
        <w:spacing w:before="60" w:after="240" w:line="276" w:lineRule="auto"/>
        <w:jc w:val="both"/>
        <w:rPr>
          <w:rFonts w:ascii="Arial" w:hAnsi="Arial" w:cs="Arial"/>
          <w:sz w:val="22"/>
          <w:szCs w:val="22"/>
        </w:rPr>
      </w:pPr>
      <w:r w:rsidRPr="00BF65D3">
        <w:rPr>
          <w:rFonts w:ascii="Arial" w:hAnsi="Arial" w:cs="Arial"/>
          <w:sz w:val="22"/>
          <w:szCs w:val="22"/>
        </w:rPr>
        <w:t>Uchazeč může jako způsobilé náklady navrhnout pouze náklady vymezené vždy v souladu se zákonem o podpoře výzkumu, experimentálního vývoje a inov</w:t>
      </w:r>
      <w:r>
        <w:rPr>
          <w:rFonts w:ascii="Arial" w:hAnsi="Arial" w:cs="Arial"/>
          <w:sz w:val="22"/>
          <w:szCs w:val="22"/>
        </w:rPr>
        <w:t>ací, a dále v případě podpory v </w:t>
      </w:r>
      <w:r w:rsidRPr="00BF65D3">
        <w:rPr>
          <w:rFonts w:ascii="Arial" w:hAnsi="Arial" w:cs="Arial"/>
          <w:sz w:val="22"/>
          <w:szCs w:val="22"/>
        </w:rPr>
        <w:t xml:space="preserve">režimu veřejné podpory podle kategorie podpory, tj. v souladu zejména s čl. 25 Nařízení. </w:t>
      </w:r>
    </w:p>
    <w:p w:rsidR="007877C3" w:rsidRPr="00B67FA7" w:rsidRDefault="00BF65D3" w:rsidP="00BF65D3">
      <w:pPr>
        <w:spacing w:before="60" w:after="240" w:line="276" w:lineRule="auto"/>
        <w:jc w:val="both"/>
        <w:rPr>
          <w:rFonts w:ascii="Arial" w:hAnsi="Arial" w:cs="Arial"/>
          <w:sz w:val="22"/>
          <w:szCs w:val="22"/>
          <w:highlight w:val="yellow"/>
        </w:rPr>
      </w:pPr>
      <w:r w:rsidRPr="00BF65D3">
        <w:rPr>
          <w:rFonts w:ascii="Arial" w:hAnsi="Arial" w:cs="Arial"/>
          <w:sz w:val="22"/>
          <w:szCs w:val="22"/>
        </w:rPr>
        <w:t>Pro projekty EDF budou způsobilé náklady definovány v souladu s Nařízením o EDF (zejména články 13, 14 a 15).</w:t>
      </w:r>
    </w:p>
    <w:p w:rsidR="007877C3" w:rsidRPr="003B08CE" w:rsidRDefault="007877C3" w:rsidP="004458C2">
      <w:pPr>
        <w:pStyle w:val="Odstavecseseznamem"/>
        <w:numPr>
          <w:ilvl w:val="0"/>
          <w:numId w:val="2"/>
        </w:numPr>
        <w:spacing w:before="60" w:after="240" w:line="276" w:lineRule="auto"/>
        <w:jc w:val="both"/>
        <w:rPr>
          <w:rFonts w:ascii="Arial" w:hAnsi="Arial" w:cs="Arial"/>
          <w:sz w:val="22"/>
          <w:szCs w:val="22"/>
        </w:rPr>
      </w:pPr>
      <w:r w:rsidRPr="003B08CE">
        <w:rPr>
          <w:rFonts w:ascii="Arial" w:hAnsi="Arial" w:cs="Arial"/>
          <w:sz w:val="22"/>
          <w:szCs w:val="22"/>
          <w:u w:val="single"/>
        </w:rPr>
        <w:t>Specifikace cílů Programu, jejich odůvodně</w:t>
      </w:r>
      <w:r w:rsidR="00B24BC5" w:rsidRPr="003B08CE">
        <w:rPr>
          <w:rFonts w:ascii="Arial" w:hAnsi="Arial" w:cs="Arial"/>
          <w:sz w:val="22"/>
          <w:szCs w:val="22"/>
          <w:u w:val="single"/>
        </w:rPr>
        <w:t xml:space="preserve">ní a způsob dosažení, </w:t>
      </w:r>
      <w:r w:rsidRPr="003B08CE">
        <w:rPr>
          <w:rFonts w:ascii="Arial" w:hAnsi="Arial" w:cs="Arial"/>
          <w:sz w:val="22"/>
          <w:szCs w:val="22"/>
          <w:u w:val="single"/>
        </w:rPr>
        <w:t xml:space="preserve">přínosy a očekávané výsledky, srovnání se současným stavem v České </w:t>
      </w:r>
      <w:r w:rsidR="00C92B78" w:rsidRPr="003B08CE">
        <w:rPr>
          <w:rFonts w:ascii="Arial" w:hAnsi="Arial" w:cs="Arial"/>
          <w:sz w:val="22"/>
          <w:szCs w:val="22"/>
          <w:u w:val="single"/>
        </w:rPr>
        <w:t>republice a </w:t>
      </w:r>
      <w:r w:rsidRPr="003B08CE">
        <w:rPr>
          <w:rFonts w:ascii="Arial" w:hAnsi="Arial" w:cs="Arial"/>
          <w:sz w:val="22"/>
          <w:szCs w:val="22"/>
          <w:u w:val="single"/>
        </w:rPr>
        <w:t>zahraničí</w:t>
      </w:r>
    </w:p>
    <w:p w:rsidR="007877C3" w:rsidRPr="003B08CE" w:rsidRDefault="007877C3" w:rsidP="004458C2">
      <w:pPr>
        <w:spacing w:before="60" w:after="240" w:line="276" w:lineRule="auto"/>
        <w:jc w:val="both"/>
        <w:rPr>
          <w:rFonts w:ascii="Arial" w:hAnsi="Arial" w:cs="Arial"/>
          <w:sz w:val="22"/>
          <w:szCs w:val="22"/>
          <w:u w:val="single"/>
        </w:rPr>
      </w:pPr>
      <w:r w:rsidRPr="003B08CE">
        <w:rPr>
          <w:rFonts w:ascii="Arial" w:hAnsi="Arial" w:cs="Arial"/>
          <w:sz w:val="22"/>
          <w:szCs w:val="22"/>
          <w:u w:val="single"/>
        </w:rPr>
        <w:t>C</w:t>
      </w:r>
      <w:r w:rsidR="0002675F" w:rsidRPr="003B08CE">
        <w:rPr>
          <w:rFonts w:ascii="Arial" w:hAnsi="Arial" w:cs="Arial"/>
          <w:sz w:val="22"/>
          <w:szCs w:val="22"/>
          <w:u w:val="single"/>
        </w:rPr>
        <w:t xml:space="preserve">íle Programu </w:t>
      </w:r>
    </w:p>
    <w:p w:rsidR="000407E9" w:rsidRDefault="000407E9" w:rsidP="000407E9">
      <w:pPr>
        <w:spacing w:before="60" w:after="240" w:line="276" w:lineRule="auto"/>
        <w:jc w:val="both"/>
        <w:rPr>
          <w:rFonts w:ascii="Arial" w:hAnsi="Arial" w:cs="Arial"/>
          <w:sz w:val="22"/>
          <w:szCs w:val="22"/>
        </w:rPr>
      </w:pPr>
      <w:r w:rsidRPr="000407E9">
        <w:rPr>
          <w:rFonts w:ascii="Arial" w:hAnsi="Arial" w:cs="Arial"/>
          <w:sz w:val="22"/>
          <w:szCs w:val="22"/>
        </w:rPr>
        <w:t>Program je zaměřen na naplňování synergických a ko</w:t>
      </w:r>
      <w:r>
        <w:rPr>
          <w:rFonts w:ascii="Arial" w:hAnsi="Arial" w:cs="Arial"/>
          <w:sz w:val="22"/>
          <w:szCs w:val="22"/>
        </w:rPr>
        <w:t>mplementárních efektů zejména s </w:t>
      </w:r>
      <w:r w:rsidRPr="000407E9">
        <w:rPr>
          <w:rFonts w:ascii="Arial" w:hAnsi="Arial" w:cs="Arial"/>
          <w:sz w:val="22"/>
          <w:szCs w:val="22"/>
        </w:rPr>
        <w:t>Evropským obranným fondem (a případnými navazujícími programy). Zaměří se i na samostatné projekty obranného průmyslu národního významu. Z toho d</w:t>
      </w:r>
      <w:r w:rsidR="004E742A">
        <w:rPr>
          <w:rFonts w:ascii="Arial" w:hAnsi="Arial" w:cs="Arial"/>
          <w:sz w:val="22"/>
          <w:szCs w:val="22"/>
        </w:rPr>
        <w:t xml:space="preserve">ůvodu je </w:t>
      </w:r>
      <w:r w:rsidR="008F0EF9">
        <w:rPr>
          <w:rFonts w:ascii="Arial" w:hAnsi="Arial" w:cs="Arial"/>
          <w:sz w:val="22"/>
          <w:szCs w:val="22"/>
        </w:rPr>
        <w:t>P</w:t>
      </w:r>
      <w:r w:rsidR="004E742A">
        <w:rPr>
          <w:rFonts w:ascii="Arial" w:hAnsi="Arial" w:cs="Arial"/>
          <w:sz w:val="22"/>
          <w:szCs w:val="22"/>
        </w:rPr>
        <w:t>rogram členěn na dva P</w:t>
      </w:r>
      <w:r w:rsidRPr="000407E9">
        <w:rPr>
          <w:rFonts w:ascii="Arial" w:hAnsi="Arial" w:cs="Arial"/>
          <w:sz w:val="22"/>
          <w:szCs w:val="22"/>
        </w:rPr>
        <w:t>odprogramy oblasti podpory, přičemž každá má odlišný způ</w:t>
      </w:r>
      <w:r>
        <w:rPr>
          <w:rFonts w:ascii="Arial" w:hAnsi="Arial" w:cs="Arial"/>
          <w:sz w:val="22"/>
          <w:szCs w:val="22"/>
        </w:rPr>
        <w:t>sob výběru a hodnocení projektů.</w:t>
      </w:r>
      <w:r w:rsidRPr="000407E9">
        <w:rPr>
          <w:rFonts w:ascii="Arial" w:hAnsi="Arial" w:cs="Arial"/>
          <w:sz w:val="22"/>
          <w:szCs w:val="22"/>
        </w:rPr>
        <w:t xml:space="preserve"> </w:t>
      </w:r>
      <w:r>
        <w:rPr>
          <w:rFonts w:ascii="Arial" w:hAnsi="Arial" w:cs="Arial"/>
          <w:sz w:val="22"/>
          <w:szCs w:val="22"/>
        </w:rPr>
        <w:t xml:space="preserve">Podprogram 1: </w:t>
      </w:r>
      <w:r w:rsidRPr="000407E9">
        <w:rPr>
          <w:rFonts w:ascii="Arial" w:hAnsi="Arial" w:cs="Arial"/>
          <w:sz w:val="22"/>
          <w:szCs w:val="22"/>
        </w:rPr>
        <w:t xml:space="preserve">Podpora </w:t>
      </w:r>
      <w:r>
        <w:rPr>
          <w:rFonts w:ascii="Arial" w:hAnsi="Arial" w:cs="Arial"/>
          <w:sz w:val="22"/>
          <w:szCs w:val="22"/>
        </w:rPr>
        <w:t>českých uchazečů ve výzvách EDF</w:t>
      </w:r>
      <w:r w:rsidR="00A51B00">
        <w:rPr>
          <w:rFonts w:ascii="Arial" w:hAnsi="Arial" w:cs="Arial"/>
          <w:sz w:val="22"/>
          <w:szCs w:val="22"/>
        </w:rPr>
        <w:t xml:space="preserve"> a </w:t>
      </w:r>
      <w:r>
        <w:rPr>
          <w:rFonts w:ascii="Arial" w:hAnsi="Arial" w:cs="Arial"/>
          <w:sz w:val="22"/>
          <w:szCs w:val="22"/>
        </w:rPr>
        <w:t>Podprogram 2</w:t>
      </w:r>
      <w:r w:rsidRPr="000407E9">
        <w:rPr>
          <w:rFonts w:ascii="Arial" w:hAnsi="Arial" w:cs="Arial"/>
          <w:sz w:val="22"/>
          <w:szCs w:val="22"/>
        </w:rPr>
        <w:t>: Národní veřejné soutěže v obranném výzkumu</w:t>
      </w:r>
      <w:r>
        <w:rPr>
          <w:rFonts w:ascii="Arial" w:hAnsi="Arial" w:cs="Arial"/>
          <w:sz w:val="22"/>
          <w:szCs w:val="22"/>
        </w:rPr>
        <w:t>.</w:t>
      </w:r>
    </w:p>
    <w:p w:rsidR="007877C3" w:rsidRDefault="00925E55" w:rsidP="00BF65D3">
      <w:pPr>
        <w:spacing w:before="60" w:after="240" w:line="276" w:lineRule="auto"/>
        <w:jc w:val="both"/>
        <w:rPr>
          <w:rFonts w:ascii="Arial" w:hAnsi="Arial" w:cs="Arial"/>
          <w:sz w:val="22"/>
          <w:szCs w:val="22"/>
        </w:rPr>
      </w:pPr>
      <w:r w:rsidRPr="00925E55">
        <w:rPr>
          <w:rFonts w:ascii="Arial" w:hAnsi="Arial" w:cs="Arial"/>
          <w:sz w:val="22"/>
          <w:szCs w:val="22"/>
        </w:rPr>
        <w:t xml:space="preserve">Hlavním cílem </w:t>
      </w:r>
      <w:r w:rsidR="000407E9">
        <w:rPr>
          <w:rFonts w:ascii="Arial" w:hAnsi="Arial" w:cs="Arial"/>
          <w:sz w:val="22"/>
          <w:szCs w:val="22"/>
        </w:rPr>
        <w:t>Pod</w:t>
      </w:r>
      <w:r w:rsidRPr="00925E55">
        <w:rPr>
          <w:rFonts w:ascii="Arial" w:hAnsi="Arial" w:cs="Arial"/>
          <w:sz w:val="22"/>
          <w:szCs w:val="22"/>
        </w:rPr>
        <w:t>programu</w:t>
      </w:r>
      <w:r w:rsidR="000407E9">
        <w:rPr>
          <w:rFonts w:ascii="Arial" w:hAnsi="Arial" w:cs="Arial"/>
          <w:sz w:val="22"/>
          <w:szCs w:val="22"/>
        </w:rPr>
        <w:t xml:space="preserve"> 1</w:t>
      </w:r>
      <w:r w:rsidR="00A51B00">
        <w:rPr>
          <w:rFonts w:ascii="Arial" w:hAnsi="Arial" w:cs="Arial"/>
          <w:sz w:val="22"/>
          <w:szCs w:val="22"/>
        </w:rPr>
        <w:t xml:space="preserve"> je</w:t>
      </w:r>
      <w:r w:rsidRPr="00925E55">
        <w:rPr>
          <w:rFonts w:ascii="Arial" w:hAnsi="Arial" w:cs="Arial"/>
          <w:sz w:val="22"/>
          <w:szCs w:val="22"/>
        </w:rPr>
        <w:t xml:space="preserve"> rozvoj národního VaVaI v oblasti obranného průmyslu, a to prostřednictvím zvýšení zapojení českých subjektů do mezinárodních řetězců a kon</w:t>
      </w:r>
      <w:r>
        <w:rPr>
          <w:rFonts w:ascii="Arial" w:hAnsi="Arial" w:cs="Arial"/>
          <w:sz w:val="22"/>
          <w:szCs w:val="22"/>
        </w:rPr>
        <w:t>sorcií, a </w:t>
      </w:r>
      <w:r w:rsidRPr="00925E55">
        <w:rPr>
          <w:rFonts w:ascii="Arial" w:hAnsi="Arial" w:cs="Arial"/>
          <w:sz w:val="22"/>
          <w:szCs w:val="22"/>
        </w:rPr>
        <w:t xml:space="preserve">posílení technologické úrovně českých subjektů, které již v obranném VaVaI působí nebo mohou působit – přičemž i zvýšení </w:t>
      </w:r>
      <w:proofErr w:type="spellStart"/>
      <w:r w:rsidRPr="00925E55">
        <w:rPr>
          <w:rFonts w:ascii="Arial" w:hAnsi="Arial" w:cs="Arial"/>
          <w:sz w:val="22"/>
          <w:szCs w:val="22"/>
        </w:rPr>
        <w:t>multidisciplinarity</w:t>
      </w:r>
      <w:proofErr w:type="spellEnd"/>
      <w:r w:rsidRPr="00925E55">
        <w:rPr>
          <w:rFonts w:ascii="Arial" w:hAnsi="Arial" w:cs="Arial"/>
          <w:sz w:val="22"/>
          <w:szCs w:val="22"/>
        </w:rPr>
        <w:t xml:space="preserve"> prostřednictvím zapojení právě těch subjektů, které dosud v obranném VaVaI nepůsobily. </w:t>
      </w:r>
      <w:r w:rsidR="00A51B00">
        <w:rPr>
          <w:rFonts w:ascii="Arial" w:hAnsi="Arial" w:cs="Arial"/>
          <w:sz w:val="22"/>
          <w:szCs w:val="22"/>
        </w:rPr>
        <w:t>Program by měl také sloužit k </w:t>
      </w:r>
      <w:r w:rsidR="00BF65D3" w:rsidRPr="00BF65D3">
        <w:rPr>
          <w:rFonts w:ascii="Arial" w:hAnsi="Arial" w:cs="Arial"/>
          <w:sz w:val="22"/>
          <w:szCs w:val="22"/>
        </w:rPr>
        <w:t>dofinancování účasti českých uchazečů v EDF projektech.</w:t>
      </w:r>
      <w:r w:rsidR="000407E9">
        <w:rPr>
          <w:rFonts w:ascii="Arial" w:hAnsi="Arial" w:cs="Arial"/>
          <w:sz w:val="22"/>
          <w:szCs w:val="22"/>
        </w:rPr>
        <w:t xml:space="preserve"> </w:t>
      </w:r>
      <w:r w:rsidR="00BF65D3" w:rsidRPr="00BF65D3">
        <w:rPr>
          <w:rFonts w:ascii="Arial" w:hAnsi="Arial" w:cs="Arial"/>
          <w:sz w:val="22"/>
          <w:szCs w:val="22"/>
        </w:rPr>
        <w:t xml:space="preserve">Prostřednictvím takového </w:t>
      </w:r>
      <w:r w:rsidR="00BF65D3" w:rsidRPr="00BF65D3">
        <w:rPr>
          <w:rFonts w:ascii="Arial" w:hAnsi="Arial" w:cs="Arial"/>
          <w:sz w:val="22"/>
          <w:szCs w:val="22"/>
        </w:rPr>
        <w:lastRenderedPageBreak/>
        <w:t>finančního nástroje budou mít české subjekty lepší možnosti konkurovat a plněji rozvinout svůj potenciál ve spolupráci s mezinárodními partner</w:t>
      </w:r>
      <w:r w:rsidR="00A51B00">
        <w:rPr>
          <w:rFonts w:ascii="Arial" w:hAnsi="Arial" w:cs="Arial"/>
          <w:sz w:val="22"/>
          <w:szCs w:val="22"/>
        </w:rPr>
        <w:t>y. Podporované iniciativy by měly posílit</w:t>
      </w:r>
      <w:r w:rsidR="00BF65D3" w:rsidRPr="00BF65D3">
        <w:rPr>
          <w:rFonts w:ascii="Arial" w:hAnsi="Arial" w:cs="Arial"/>
          <w:sz w:val="22"/>
          <w:szCs w:val="22"/>
        </w:rPr>
        <w:t xml:space="preserve"> postavení českých subjektů v mezinárodních dod</w:t>
      </w:r>
      <w:r w:rsidR="00A51B00">
        <w:rPr>
          <w:rFonts w:ascii="Arial" w:hAnsi="Arial" w:cs="Arial"/>
          <w:sz w:val="22"/>
          <w:szCs w:val="22"/>
        </w:rPr>
        <w:t xml:space="preserve">avatelských řetězcích a přispět ke zvýšení </w:t>
      </w:r>
      <w:r w:rsidR="00BF65D3" w:rsidRPr="00BF65D3">
        <w:rPr>
          <w:rFonts w:ascii="Arial" w:hAnsi="Arial" w:cs="Arial"/>
          <w:sz w:val="22"/>
          <w:szCs w:val="22"/>
        </w:rPr>
        <w:t>spolupráce a v</w:t>
      </w:r>
      <w:r w:rsidR="00BF65D3">
        <w:rPr>
          <w:rFonts w:ascii="Arial" w:hAnsi="Arial" w:cs="Arial"/>
          <w:sz w:val="22"/>
          <w:szCs w:val="22"/>
        </w:rPr>
        <w:t>ýměny know-how mezi zeměmi EU v </w:t>
      </w:r>
      <w:r>
        <w:rPr>
          <w:rFonts w:ascii="Arial" w:hAnsi="Arial" w:cs="Arial"/>
          <w:sz w:val="22"/>
          <w:szCs w:val="22"/>
        </w:rPr>
        <w:t>oblasti obranného výzkumu a </w:t>
      </w:r>
      <w:r w:rsidR="00BF65D3" w:rsidRPr="00BF65D3">
        <w:rPr>
          <w:rFonts w:ascii="Arial" w:hAnsi="Arial" w:cs="Arial"/>
          <w:sz w:val="22"/>
          <w:szCs w:val="22"/>
        </w:rPr>
        <w:t xml:space="preserve">inovací. </w:t>
      </w:r>
    </w:p>
    <w:p w:rsidR="000407E9" w:rsidRPr="00925E55" w:rsidRDefault="000407E9" w:rsidP="00BF65D3">
      <w:pPr>
        <w:spacing w:before="60" w:after="240" w:line="276" w:lineRule="auto"/>
        <w:jc w:val="both"/>
        <w:rPr>
          <w:rFonts w:ascii="Arial" w:hAnsi="Arial" w:cs="Arial"/>
          <w:sz w:val="22"/>
          <w:szCs w:val="22"/>
        </w:rPr>
      </w:pPr>
      <w:r w:rsidRPr="000407E9">
        <w:rPr>
          <w:rFonts w:ascii="Arial" w:hAnsi="Arial" w:cs="Arial"/>
          <w:sz w:val="22"/>
          <w:szCs w:val="22"/>
        </w:rPr>
        <w:t>Podprogram 2 je zaměřen na projekty aplikovaného výzkumu a inovací v oblastech moderních nastupujících a přelomových technologiích, které lze využít pro potřeby AČR. Budou podporovány projekty, které prokáží vazbu na technologické znalostní domény v oblasti přelomových a nastupujících technologií (</w:t>
      </w:r>
      <w:proofErr w:type="spellStart"/>
      <w:r w:rsidRPr="000407E9">
        <w:rPr>
          <w:rFonts w:ascii="Arial" w:hAnsi="Arial" w:cs="Arial"/>
          <w:sz w:val="22"/>
          <w:szCs w:val="22"/>
        </w:rPr>
        <w:t>EDTs</w:t>
      </w:r>
      <w:proofErr w:type="spellEnd"/>
      <w:r w:rsidRPr="000407E9">
        <w:rPr>
          <w:rFonts w:ascii="Arial" w:hAnsi="Arial" w:cs="Arial"/>
          <w:sz w:val="22"/>
          <w:szCs w:val="22"/>
        </w:rPr>
        <w:t xml:space="preserve"> – </w:t>
      </w:r>
      <w:proofErr w:type="spellStart"/>
      <w:r w:rsidRPr="000407E9">
        <w:rPr>
          <w:rFonts w:ascii="Arial" w:hAnsi="Arial" w:cs="Arial"/>
          <w:sz w:val="22"/>
          <w:szCs w:val="22"/>
        </w:rPr>
        <w:t>Emerging</w:t>
      </w:r>
      <w:proofErr w:type="spellEnd"/>
      <w:r w:rsidRPr="000407E9">
        <w:rPr>
          <w:rFonts w:ascii="Arial" w:hAnsi="Arial" w:cs="Arial"/>
          <w:sz w:val="22"/>
          <w:szCs w:val="22"/>
        </w:rPr>
        <w:t xml:space="preserve"> and </w:t>
      </w:r>
      <w:proofErr w:type="spellStart"/>
      <w:r w:rsidRPr="000407E9">
        <w:rPr>
          <w:rFonts w:ascii="Arial" w:hAnsi="Arial" w:cs="Arial"/>
          <w:sz w:val="22"/>
          <w:szCs w:val="22"/>
        </w:rPr>
        <w:t>Disruptive</w:t>
      </w:r>
      <w:proofErr w:type="spellEnd"/>
      <w:r w:rsidRPr="000407E9">
        <w:rPr>
          <w:rFonts w:ascii="Arial" w:hAnsi="Arial" w:cs="Arial"/>
          <w:sz w:val="22"/>
          <w:szCs w:val="22"/>
        </w:rPr>
        <w:t xml:space="preserve"> Technologies).</w:t>
      </w:r>
    </w:p>
    <w:p w:rsidR="00B24BC5" w:rsidRPr="003B08CE" w:rsidRDefault="00B24BC5" w:rsidP="004458C2">
      <w:pPr>
        <w:spacing w:before="60" w:after="240" w:line="276" w:lineRule="auto"/>
        <w:jc w:val="both"/>
        <w:rPr>
          <w:rFonts w:ascii="Arial" w:hAnsi="Arial" w:cs="Arial"/>
          <w:sz w:val="22"/>
          <w:szCs w:val="22"/>
          <w:u w:val="single"/>
        </w:rPr>
      </w:pPr>
      <w:r w:rsidRPr="003B08CE">
        <w:rPr>
          <w:rFonts w:ascii="Arial" w:hAnsi="Arial" w:cs="Arial"/>
          <w:sz w:val="22"/>
          <w:szCs w:val="22"/>
          <w:u w:val="single"/>
        </w:rPr>
        <w:t>Kritéria a splnění cílů Programu</w:t>
      </w:r>
    </w:p>
    <w:p w:rsidR="003157E3" w:rsidRPr="003157E3" w:rsidRDefault="002F32F3" w:rsidP="003157E3">
      <w:pPr>
        <w:spacing w:before="60" w:after="240" w:line="276" w:lineRule="auto"/>
        <w:jc w:val="both"/>
        <w:rPr>
          <w:rFonts w:ascii="Arial" w:hAnsi="Arial" w:cs="Arial"/>
          <w:sz w:val="22"/>
          <w:szCs w:val="22"/>
        </w:rPr>
      </w:pPr>
      <w:r>
        <w:rPr>
          <w:rFonts w:ascii="Arial" w:hAnsi="Arial" w:cs="Arial"/>
          <w:sz w:val="22"/>
          <w:szCs w:val="22"/>
        </w:rPr>
        <w:t>Dosažení cílů P</w:t>
      </w:r>
      <w:r w:rsidR="003157E3" w:rsidRPr="003157E3">
        <w:rPr>
          <w:rFonts w:ascii="Arial" w:hAnsi="Arial" w:cs="Arial"/>
          <w:sz w:val="22"/>
          <w:szCs w:val="22"/>
        </w:rPr>
        <w:t>rogramu bude poskytovatel vyhodnocovat v souladu s Metodikou hodnocení výsledků výzkumných organizací a hodnocení výsledků ukončených pro</w:t>
      </w:r>
      <w:r w:rsidR="008F0EF9">
        <w:rPr>
          <w:rFonts w:ascii="Arial" w:hAnsi="Arial" w:cs="Arial"/>
          <w:sz w:val="22"/>
          <w:szCs w:val="22"/>
        </w:rPr>
        <w:t>gramů platnou v době hodnocení P</w:t>
      </w:r>
      <w:r w:rsidR="003157E3" w:rsidRPr="003157E3">
        <w:rPr>
          <w:rFonts w:ascii="Arial" w:hAnsi="Arial" w:cs="Arial"/>
          <w:sz w:val="22"/>
          <w:szCs w:val="22"/>
        </w:rPr>
        <w:t>rogramu (dále “Metodika”), případně dalšími podmínkami stanovenými poskytovatelem.</w:t>
      </w:r>
    </w:p>
    <w:p w:rsidR="00B24BC5" w:rsidRDefault="002F32F3" w:rsidP="003157E3">
      <w:pPr>
        <w:spacing w:before="60" w:after="240" w:line="276" w:lineRule="auto"/>
        <w:jc w:val="both"/>
        <w:rPr>
          <w:rFonts w:ascii="Arial" w:hAnsi="Arial" w:cs="Arial"/>
          <w:sz w:val="22"/>
          <w:szCs w:val="22"/>
          <w:highlight w:val="yellow"/>
        </w:rPr>
      </w:pPr>
      <w:r>
        <w:rPr>
          <w:rFonts w:ascii="Arial" w:hAnsi="Arial" w:cs="Arial"/>
          <w:sz w:val="22"/>
          <w:szCs w:val="22"/>
        </w:rPr>
        <w:t>Vyhodnocení dosažení cílů P</w:t>
      </w:r>
      <w:r w:rsidR="003157E3" w:rsidRPr="003157E3">
        <w:rPr>
          <w:rFonts w:ascii="Arial" w:hAnsi="Arial" w:cs="Arial"/>
          <w:sz w:val="22"/>
          <w:szCs w:val="22"/>
        </w:rPr>
        <w:t>rogramu proběhne na základě souboru indikátorů určených pro monitorování průběhu plnění programu (průběžné hodnocení) a hodnocení jeho celkové výkonnosti a úspěšnosti (hodnocení dopadů).</w:t>
      </w:r>
    </w:p>
    <w:p w:rsidR="003157E3" w:rsidRPr="003157E3" w:rsidRDefault="003157E3" w:rsidP="003157E3">
      <w:pPr>
        <w:spacing w:before="60" w:after="240" w:line="276" w:lineRule="auto"/>
        <w:jc w:val="both"/>
        <w:rPr>
          <w:rFonts w:ascii="Arial" w:hAnsi="Arial" w:cs="Arial"/>
          <w:b/>
          <w:sz w:val="22"/>
          <w:szCs w:val="22"/>
          <w:highlight w:val="yellow"/>
        </w:rPr>
      </w:pPr>
      <w:r w:rsidRPr="003157E3">
        <w:rPr>
          <w:rFonts w:ascii="Arial" w:hAnsi="Arial" w:cs="Arial"/>
          <w:b/>
          <w:sz w:val="22"/>
          <w:szCs w:val="22"/>
        </w:rPr>
        <w:t>Tabulka č. 4: Indikátory programu</w:t>
      </w:r>
    </w:p>
    <w:tbl>
      <w:tblPr>
        <w:tblW w:w="0" w:type="auto"/>
        <w:tblCellMar>
          <w:top w:w="15" w:type="dxa"/>
          <w:left w:w="15" w:type="dxa"/>
          <w:bottom w:w="15" w:type="dxa"/>
          <w:right w:w="15" w:type="dxa"/>
        </w:tblCellMar>
        <w:tblLook w:val="04A0" w:firstRow="1" w:lastRow="0" w:firstColumn="1" w:lastColumn="0" w:noHBand="0" w:noVBand="1"/>
      </w:tblPr>
      <w:tblGrid>
        <w:gridCol w:w="479"/>
        <w:gridCol w:w="4832"/>
        <w:gridCol w:w="1021"/>
        <w:gridCol w:w="2720"/>
      </w:tblGrid>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b/>
                <w:bCs/>
                <w:color w:val="000000"/>
                <w:sz w:val="20"/>
                <w:szCs w:val="20"/>
              </w:rPr>
              <w:t>Indikátor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b/>
                <w:bCs/>
                <w:color w:val="000000"/>
                <w:sz w:val="20"/>
                <w:szCs w:val="20"/>
              </w:rPr>
              <w:t>Vazba na cíle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b/>
                <w:bCs/>
                <w:color w:val="000000"/>
                <w:sz w:val="20"/>
                <w:szCs w:val="20"/>
              </w:rPr>
              <w:t>Minimální cílová hodnota</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Počet podpořených projektů v programu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Hlavní cíl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150</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Míra úspěšnosti dokončených projektů</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Hlavní cíl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80 % z podpořených projektů</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Počet výsledků VaVaI dle Metodiky 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Hlavní cíl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1,5 x počet podpořených projektů</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ind w:left="113"/>
              <w:rPr>
                <w:sz w:val="20"/>
                <w:szCs w:val="20"/>
              </w:rPr>
            </w:pPr>
            <w:r w:rsidRPr="003157E3">
              <w:rPr>
                <w:rFonts w:ascii="Arial" w:hAnsi="Arial" w:cs="Arial"/>
                <w:color w:val="000000"/>
                <w:sz w:val="20"/>
                <w:szCs w:val="20"/>
              </w:rPr>
              <w:t>Podíl</w:t>
            </w:r>
            <w:r w:rsidRPr="003157E3">
              <w:rPr>
                <w:rFonts w:ascii="Arial" w:hAnsi="Arial" w:cs="Arial"/>
                <w:color w:val="000000"/>
                <w:sz w:val="20"/>
                <w:szCs w:val="20"/>
                <w:shd w:val="clear" w:color="auto" w:fill="FFFFFF"/>
              </w:rPr>
              <w:t xml:space="preserve"> nových technologií, inovativních postupů v oblasti obranného průmyslu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Hlavní cíl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1/10 počtu podpořených projektů</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shd w:val="clear" w:color="auto" w:fill="FFFFFF"/>
              </w:rPr>
              <w:t>Podíl zlepšených technologií, inovativních postupů v oblasti obranného průmyslu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Hlavní cíl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1/2 počtu podpořených projektů</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Zvýšení počtu podpořených českých subjektů ve výzvách EDF oproti roku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PP1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o 20 %</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Zvýšení průměrného podílu na financování či aktivitách českých subjektů v projektech EDF oproti roku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PP1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o 20 %</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 xml:space="preserve">Počet nových subjektů zabývajících se </w:t>
            </w:r>
            <w:proofErr w:type="spellStart"/>
            <w:r w:rsidRPr="003157E3">
              <w:rPr>
                <w:rFonts w:ascii="Arial" w:hAnsi="Arial" w:cs="Arial"/>
                <w:color w:val="000000"/>
                <w:sz w:val="20"/>
                <w:szCs w:val="20"/>
              </w:rPr>
              <w:t>VaV</w:t>
            </w:r>
            <w:proofErr w:type="spellEnd"/>
            <w:r w:rsidRPr="003157E3">
              <w:rPr>
                <w:rFonts w:ascii="Arial" w:hAnsi="Arial" w:cs="Arial"/>
                <w:color w:val="000000"/>
                <w:sz w:val="20"/>
                <w:szCs w:val="20"/>
              </w:rPr>
              <w:t xml:space="preserve"> v oblasti obrany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PP2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20</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Podíl unikátních subjektů navazujících průmyslová a výzkumná partnerství v obranném a bezpečnostním průmyslu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PP2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10 % z podpořených unikátních subjektů</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lastRenderedPageBreak/>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Podíl výsledků využitelných ve prospěch AČR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PP2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70 % z podpořených projektů</w:t>
            </w:r>
          </w:p>
        </w:tc>
      </w:tr>
      <w:tr w:rsidR="003157E3" w:rsidRPr="003157E3" w:rsidTr="009B7A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157E3" w:rsidRPr="003157E3" w:rsidRDefault="003157E3" w:rsidP="009B7AA1">
            <w:pPr>
              <w:jc w:val="center"/>
              <w:rPr>
                <w:sz w:val="20"/>
                <w:szCs w:val="20"/>
              </w:rPr>
            </w:pPr>
            <w:r w:rsidRPr="003157E3">
              <w:rPr>
                <w:rFonts w:ascii="Arial" w:hAnsi="Arial" w:cs="Arial"/>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ind w:left="113"/>
              <w:rPr>
                <w:sz w:val="20"/>
                <w:szCs w:val="20"/>
              </w:rPr>
            </w:pPr>
            <w:r w:rsidRPr="003157E3">
              <w:rPr>
                <w:rFonts w:ascii="Arial" w:hAnsi="Arial" w:cs="Arial"/>
                <w:color w:val="000000"/>
                <w:sz w:val="20"/>
                <w:szCs w:val="20"/>
              </w:rPr>
              <w:t>Podíl navazujících (</w:t>
            </w:r>
            <w:proofErr w:type="spellStart"/>
            <w:r w:rsidRPr="003157E3">
              <w:rPr>
                <w:rFonts w:ascii="Arial" w:hAnsi="Arial" w:cs="Arial"/>
                <w:color w:val="000000"/>
                <w:sz w:val="20"/>
                <w:szCs w:val="20"/>
              </w:rPr>
              <w:t>follow</w:t>
            </w:r>
            <w:proofErr w:type="spellEnd"/>
            <w:r w:rsidRPr="003157E3">
              <w:rPr>
                <w:rFonts w:ascii="Arial" w:hAnsi="Arial" w:cs="Arial"/>
                <w:color w:val="000000"/>
                <w:sz w:val="20"/>
                <w:szCs w:val="20"/>
              </w:rPr>
              <w:t>-up) projektů rozvíjejících vzniklé výsledky z programu PRODEF</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Hlavní cíl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157E3" w:rsidRPr="003157E3" w:rsidRDefault="003157E3" w:rsidP="009B7AA1">
            <w:pPr>
              <w:jc w:val="center"/>
              <w:rPr>
                <w:sz w:val="20"/>
                <w:szCs w:val="20"/>
              </w:rPr>
            </w:pPr>
            <w:r w:rsidRPr="003157E3">
              <w:rPr>
                <w:rFonts w:ascii="Arial" w:hAnsi="Arial" w:cs="Arial"/>
                <w:color w:val="000000"/>
                <w:sz w:val="20"/>
                <w:szCs w:val="20"/>
              </w:rPr>
              <w:t>10 % z podpořených projektů</w:t>
            </w:r>
          </w:p>
        </w:tc>
      </w:tr>
    </w:tbl>
    <w:p w:rsidR="00862806" w:rsidRDefault="00862806" w:rsidP="004458C2">
      <w:pPr>
        <w:spacing w:before="60" w:after="240" w:line="276" w:lineRule="auto"/>
        <w:jc w:val="both"/>
        <w:rPr>
          <w:rFonts w:ascii="Arial" w:hAnsi="Arial" w:cs="Arial"/>
          <w:sz w:val="22"/>
          <w:szCs w:val="22"/>
          <w:u w:val="single"/>
        </w:rPr>
      </w:pPr>
    </w:p>
    <w:p w:rsidR="005E1607" w:rsidRPr="00925E55" w:rsidRDefault="005E1607" w:rsidP="004458C2">
      <w:pPr>
        <w:spacing w:before="60" w:after="240" w:line="276" w:lineRule="auto"/>
        <w:jc w:val="both"/>
        <w:rPr>
          <w:rFonts w:ascii="Arial" w:hAnsi="Arial" w:cs="Arial"/>
          <w:sz w:val="22"/>
          <w:szCs w:val="22"/>
          <w:u w:val="single"/>
        </w:rPr>
      </w:pPr>
      <w:r w:rsidRPr="00925E55">
        <w:rPr>
          <w:rFonts w:ascii="Arial" w:hAnsi="Arial" w:cs="Arial"/>
          <w:sz w:val="22"/>
          <w:szCs w:val="22"/>
          <w:u w:val="single"/>
        </w:rPr>
        <w:t>Očekávané přínosy</w:t>
      </w:r>
    </w:p>
    <w:p w:rsidR="001D1682" w:rsidRPr="003B08CE" w:rsidRDefault="001D1682" w:rsidP="001D1682">
      <w:pPr>
        <w:spacing w:before="60" w:after="240" w:line="276" w:lineRule="auto"/>
        <w:jc w:val="both"/>
        <w:rPr>
          <w:rFonts w:ascii="Arial" w:hAnsi="Arial" w:cs="Arial"/>
          <w:sz w:val="22"/>
          <w:szCs w:val="22"/>
        </w:rPr>
      </w:pPr>
      <w:r>
        <w:rPr>
          <w:rFonts w:ascii="Arial" w:hAnsi="Arial" w:cs="Arial"/>
          <w:sz w:val="22"/>
          <w:szCs w:val="22"/>
        </w:rPr>
        <w:t>Hlavním přínosem Programu by mělo být zkvalitnění obranného výzkumu, a to zejména financováním subjektů, které by rozvinuly plně svůj potenciál, a tím by jim bylo umožněno</w:t>
      </w:r>
      <w:r w:rsidRPr="003B08CE">
        <w:rPr>
          <w:rFonts w:ascii="Arial" w:hAnsi="Arial" w:cs="Arial"/>
          <w:sz w:val="22"/>
          <w:szCs w:val="22"/>
        </w:rPr>
        <w:t xml:space="preserve"> věnovat </w:t>
      </w:r>
      <w:r>
        <w:rPr>
          <w:rFonts w:ascii="Arial" w:hAnsi="Arial" w:cs="Arial"/>
          <w:sz w:val="22"/>
          <w:szCs w:val="22"/>
        </w:rPr>
        <w:t>se výzkumu na vyšší a mezinárodní úrovni. Zároveň by mělo také dojít ke</w:t>
      </w:r>
      <w:r w:rsidRPr="003B08CE">
        <w:rPr>
          <w:rFonts w:ascii="Arial" w:hAnsi="Arial" w:cs="Arial"/>
          <w:sz w:val="22"/>
          <w:szCs w:val="22"/>
        </w:rPr>
        <w:t xml:space="preserve"> zvýšení jejich konkurencescho</w:t>
      </w:r>
      <w:r>
        <w:rPr>
          <w:rFonts w:ascii="Arial" w:hAnsi="Arial" w:cs="Arial"/>
          <w:sz w:val="22"/>
          <w:szCs w:val="22"/>
        </w:rPr>
        <w:t>pnosti na trhu</w:t>
      </w:r>
      <w:r w:rsidRPr="003B08CE">
        <w:rPr>
          <w:rFonts w:ascii="Arial" w:hAnsi="Arial" w:cs="Arial"/>
          <w:sz w:val="22"/>
          <w:szCs w:val="22"/>
        </w:rPr>
        <w:t xml:space="preserve">. </w:t>
      </w:r>
    </w:p>
    <w:p w:rsidR="003B08CE" w:rsidRPr="003B08CE" w:rsidRDefault="004E742A" w:rsidP="003B08CE">
      <w:pPr>
        <w:spacing w:before="60" w:after="240" w:line="276" w:lineRule="auto"/>
        <w:jc w:val="both"/>
        <w:rPr>
          <w:rFonts w:ascii="Arial" w:hAnsi="Arial" w:cs="Arial"/>
          <w:sz w:val="22"/>
          <w:szCs w:val="22"/>
        </w:rPr>
      </w:pPr>
      <w:r>
        <w:rPr>
          <w:rFonts w:ascii="Arial" w:hAnsi="Arial" w:cs="Arial"/>
          <w:sz w:val="22"/>
          <w:szCs w:val="22"/>
        </w:rPr>
        <w:t xml:space="preserve">V rámci </w:t>
      </w:r>
      <w:r w:rsidR="002F32F3">
        <w:rPr>
          <w:rFonts w:ascii="Arial" w:hAnsi="Arial" w:cs="Arial"/>
          <w:sz w:val="22"/>
          <w:szCs w:val="22"/>
        </w:rPr>
        <w:t>P</w:t>
      </w:r>
      <w:r w:rsidR="003B08CE" w:rsidRPr="003B08CE">
        <w:rPr>
          <w:rFonts w:ascii="Arial" w:hAnsi="Arial" w:cs="Arial"/>
          <w:sz w:val="22"/>
          <w:szCs w:val="22"/>
        </w:rPr>
        <w:t>rogramu budou podporovány zejména projekty, u kterých se odůvodněně předpokládá dosažení využitelných výstupů, jejichž aplikace přispěje k plnění stanovených cílů</w:t>
      </w:r>
      <w:r w:rsidR="002F32F3">
        <w:rPr>
          <w:rFonts w:ascii="Arial" w:hAnsi="Arial" w:cs="Arial"/>
          <w:sz w:val="22"/>
          <w:szCs w:val="22"/>
        </w:rPr>
        <w:t xml:space="preserve"> P</w:t>
      </w:r>
      <w:r w:rsidR="003B08CE" w:rsidRPr="003B08CE">
        <w:rPr>
          <w:rFonts w:ascii="Arial" w:hAnsi="Arial" w:cs="Arial"/>
          <w:sz w:val="22"/>
          <w:szCs w:val="22"/>
        </w:rPr>
        <w:t xml:space="preserve">rogramu. </w:t>
      </w:r>
      <w:r w:rsidR="003D49BE">
        <w:rPr>
          <w:rFonts w:ascii="Arial" w:hAnsi="Arial" w:cs="Arial"/>
          <w:sz w:val="22"/>
          <w:szCs w:val="22"/>
        </w:rPr>
        <w:t>Posílením</w:t>
      </w:r>
      <w:r w:rsidR="003D49BE" w:rsidRPr="003B08CE">
        <w:rPr>
          <w:rFonts w:ascii="Arial" w:hAnsi="Arial" w:cs="Arial"/>
          <w:sz w:val="22"/>
          <w:szCs w:val="22"/>
        </w:rPr>
        <w:t xml:space="preserve"> subjektů v o</w:t>
      </w:r>
      <w:r w:rsidR="003D49BE">
        <w:rPr>
          <w:rFonts w:ascii="Arial" w:hAnsi="Arial" w:cs="Arial"/>
          <w:sz w:val="22"/>
          <w:szCs w:val="22"/>
        </w:rPr>
        <w:t xml:space="preserve">blasti </w:t>
      </w:r>
      <w:proofErr w:type="spellStart"/>
      <w:r w:rsidR="003D49BE">
        <w:rPr>
          <w:rFonts w:ascii="Arial" w:hAnsi="Arial" w:cs="Arial"/>
          <w:sz w:val="22"/>
          <w:szCs w:val="22"/>
        </w:rPr>
        <w:t>VaV</w:t>
      </w:r>
      <w:proofErr w:type="spellEnd"/>
      <w:r w:rsidR="003D49BE">
        <w:rPr>
          <w:rFonts w:ascii="Arial" w:hAnsi="Arial" w:cs="Arial"/>
          <w:sz w:val="22"/>
          <w:szCs w:val="22"/>
        </w:rPr>
        <w:t xml:space="preserve"> obranného průmyslu a </w:t>
      </w:r>
      <w:r w:rsidR="003D49BE" w:rsidRPr="003B08CE">
        <w:rPr>
          <w:rFonts w:ascii="Arial" w:hAnsi="Arial" w:cs="Arial"/>
          <w:sz w:val="22"/>
          <w:szCs w:val="22"/>
        </w:rPr>
        <w:t>navýšení počtů českých subj</w:t>
      </w:r>
      <w:r w:rsidR="003D49BE">
        <w:rPr>
          <w:rFonts w:ascii="Arial" w:hAnsi="Arial" w:cs="Arial"/>
          <w:sz w:val="22"/>
          <w:szCs w:val="22"/>
        </w:rPr>
        <w:t>ektů v mezinárodních řetězcích by mělo také přispět také k celkovému zlepšení bezpečnostní situaci v České republice.</w:t>
      </w:r>
    </w:p>
    <w:p w:rsidR="003B08CE" w:rsidRPr="003B08CE" w:rsidRDefault="003B08CE" w:rsidP="003B08CE">
      <w:pPr>
        <w:spacing w:before="60" w:after="240" w:line="276" w:lineRule="auto"/>
        <w:jc w:val="both"/>
        <w:rPr>
          <w:rFonts w:ascii="Arial" w:hAnsi="Arial" w:cs="Arial"/>
          <w:sz w:val="22"/>
          <w:szCs w:val="22"/>
        </w:rPr>
      </w:pPr>
      <w:r w:rsidRPr="003B08CE">
        <w:rPr>
          <w:rFonts w:ascii="Arial" w:hAnsi="Arial" w:cs="Arial"/>
          <w:sz w:val="22"/>
          <w:szCs w:val="22"/>
        </w:rPr>
        <w:t>Vzhledem ke spec</w:t>
      </w:r>
      <w:r w:rsidR="001D1682">
        <w:rPr>
          <w:rFonts w:ascii="Arial" w:hAnsi="Arial" w:cs="Arial"/>
          <w:sz w:val="22"/>
          <w:szCs w:val="22"/>
        </w:rPr>
        <w:t xml:space="preserve">ifickému zaměření </w:t>
      </w:r>
      <w:r w:rsidR="008F0EF9">
        <w:rPr>
          <w:rFonts w:ascii="Arial" w:hAnsi="Arial" w:cs="Arial"/>
          <w:sz w:val="22"/>
          <w:szCs w:val="22"/>
        </w:rPr>
        <w:t>P</w:t>
      </w:r>
      <w:r w:rsidR="001D1682">
        <w:rPr>
          <w:rFonts w:ascii="Arial" w:hAnsi="Arial" w:cs="Arial"/>
          <w:sz w:val="22"/>
          <w:szCs w:val="22"/>
        </w:rPr>
        <w:t xml:space="preserve">rogramu </w:t>
      </w:r>
      <w:r w:rsidRPr="003B08CE">
        <w:rPr>
          <w:rFonts w:ascii="Arial" w:hAnsi="Arial" w:cs="Arial"/>
          <w:sz w:val="22"/>
          <w:szCs w:val="22"/>
        </w:rPr>
        <w:t>existu</w:t>
      </w:r>
      <w:r>
        <w:rPr>
          <w:rFonts w:ascii="Arial" w:hAnsi="Arial" w:cs="Arial"/>
          <w:sz w:val="22"/>
          <w:szCs w:val="22"/>
        </w:rPr>
        <w:t>je celá řada dalších poznatků a </w:t>
      </w:r>
      <w:r w:rsidRPr="003B08CE">
        <w:rPr>
          <w:rFonts w:ascii="Arial" w:hAnsi="Arial" w:cs="Arial"/>
          <w:sz w:val="22"/>
          <w:szCs w:val="22"/>
        </w:rPr>
        <w:t xml:space="preserve">dovedností v souladu s §2 odst. 2, písmeno i) zákona o podpoře výzkumu, experimentálního vývoje a inovací, které se očekávají jako výsledky veřejných soutěží. Z tohoto důvodu bude </w:t>
      </w:r>
      <w:r w:rsidR="008F0EF9">
        <w:rPr>
          <w:rFonts w:ascii="Arial" w:hAnsi="Arial" w:cs="Arial"/>
          <w:sz w:val="22"/>
          <w:szCs w:val="22"/>
        </w:rPr>
        <w:t>P</w:t>
      </w:r>
      <w:r w:rsidRPr="003B08CE">
        <w:rPr>
          <w:rFonts w:ascii="Arial" w:hAnsi="Arial" w:cs="Arial"/>
          <w:sz w:val="22"/>
          <w:szCs w:val="22"/>
        </w:rPr>
        <w:t xml:space="preserve">rogram hodnocen nejen na základě výstupů (ve formě výsledků) dle aktuálně platné metodiky hodnocení výzkumných organizací a hodnocení programů účelové podpory, ale také podle dosažených poznatků a dovedností, které budou specifikovány v rámci přípravy projektu tohoto typu výzkumu. </w:t>
      </w:r>
    </w:p>
    <w:p w:rsidR="005E1607" w:rsidRPr="00751384" w:rsidRDefault="005E1607" w:rsidP="003B08CE">
      <w:pPr>
        <w:spacing w:before="60" w:after="240" w:line="276" w:lineRule="auto"/>
        <w:jc w:val="both"/>
        <w:rPr>
          <w:rFonts w:ascii="Arial" w:hAnsi="Arial" w:cs="Arial"/>
          <w:sz w:val="22"/>
          <w:szCs w:val="22"/>
          <w:u w:val="single"/>
        </w:rPr>
      </w:pPr>
      <w:r w:rsidRPr="00751384">
        <w:rPr>
          <w:rFonts w:ascii="Arial" w:hAnsi="Arial" w:cs="Arial"/>
          <w:sz w:val="22"/>
          <w:szCs w:val="22"/>
          <w:u w:val="single"/>
        </w:rPr>
        <w:t>Srovnání se současným stavem v České republice a v zahraničí</w:t>
      </w:r>
    </w:p>
    <w:p w:rsidR="00D0009F" w:rsidRDefault="00D0009F" w:rsidP="003B08CE">
      <w:pPr>
        <w:spacing w:before="60" w:after="240" w:line="276" w:lineRule="auto"/>
        <w:jc w:val="both"/>
        <w:rPr>
          <w:rFonts w:ascii="Arial" w:hAnsi="Arial" w:cs="Arial"/>
          <w:sz w:val="22"/>
          <w:szCs w:val="22"/>
        </w:rPr>
      </w:pPr>
      <w:r>
        <w:rPr>
          <w:rFonts w:ascii="Arial" w:hAnsi="Arial" w:cs="Arial"/>
          <w:sz w:val="22"/>
          <w:szCs w:val="22"/>
        </w:rPr>
        <w:t xml:space="preserve">Návrh </w:t>
      </w:r>
      <w:r w:rsidRPr="00D0009F">
        <w:rPr>
          <w:rFonts w:ascii="Arial" w:hAnsi="Arial" w:cs="Arial"/>
          <w:sz w:val="22"/>
          <w:szCs w:val="22"/>
        </w:rPr>
        <w:t>Program</w:t>
      </w:r>
      <w:r>
        <w:rPr>
          <w:rFonts w:ascii="Arial" w:hAnsi="Arial" w:cs="Arial"/>
          <w:sz w:val="22"/>
          <w:szCs w:val="22"/>
        </w:rPr>
        <w:t>u</w:t>
      </w:r>
      <w:r w:rsidRPr="00D0009F">
        <w:rPr>
          <w:rFonts w:ascii="Arial" w:hAnsi="Arial" w:cs="Arial"/>
          <w:sz w:val="22"/>
          <w:szCs w:val="22"/>
        </w:rPr>
        <w:t xml:space="preserve"> na podporu aplikovaného výzkumu a inovací v obranném průmyslu PRODEF</w:t>
      </w:r>
      <w:r w:rsidR="00D9525A">
        <w:rPr>
          <w:rFonts w:ascii="Arial" w:hAnsi="Arial" w:cs="Arial"/>
          <w:sz w:val="22"/>
          <w:szCs w:val="22"/>
        </w:rPr>
        <w:t xml:space="preserve"> podrobně popisuje s</w:t>
      </w:r>
      <w:r w:rsidR="00D9525A" w:rsidRPr="00D9525A">
        <w:rPr>
          <w:rFonts w:ascii="Arial" w:hAnsi="Arial" w:cs="Arial"/>
          <w:sz w:val="22"/>
          <w:szCs w:val="22"/>
        </w:rPr>
        <w:t>rovnání se současným stavem v České republice a v</w:t>
      </w:r>
      <w:r w:rsidR="00D9525A">
        <w:rPr>
          <w:rFonts w:ascii="Arial" w:hAnsi="Arial" w:cs="Arial"/>
          <w:sz w:val="22"/>
          <w:szCs w:val="22"/>
        </w:rPr>
        <w:t> </w:t>
      </w:r>
      <w:r w:rsidR="00D9525A" w:rsidRPr="00D9525A">
        <w:rPr>
          <w:rFonts w:ascii="Arial" w:hAnsi="Arial" w:cs="Arial"/>
          <w:sz w:val="22"/>
          <w:szCs w:val="22"/>
        </w:rPr>
        <w:t>zahraničí</w:t>
      </w:r>
      <w:r w:rsidR="00D9525A">
        <w:rPr>
          <w:rFonts w:ascii="Arial" w:hAnsi="Arial" w:cs="Arial"/>
          <w:sz w:val="22"/>
          <w:szCs w:val="22"/>
        </w:rPr>
        <w:t xml:space="preserve"> v kapitole 18. (str. 17 – 20).</w:t>
      </w:r>
    </w:p>
    <w:p w:rsidR="001B2F84" w:rsidRPr="003B08CE" w:rsidRDefault="001B2F84" w:rsidP="004458C2">
      <w:pPr>
        <w:pStyle w:val="Normalodsazen"/>
        <w:numPr>
          <w:ilvl w:val="0"/>
          <w:numId w:val="21"/>
        </w:numPr>
        <w:spacing w:after="240" w:line="276" w:lineRule="auto"/>
        <w:rPr>
          <w:b/>
          <w:color w:val="0070C0"/>
          <w:szCs w:val="22"/>
        </w:rPr>
      </w:pPr>
      <w:r w:rsidRPr="003B08CE">
        <w:rPr>
          <w:b/>
          <w:color w:val="0070C0"/>
          <w:szCs w:val="22"/>
        </w:rPr>
        <w:t xml:space="preserve">Soulad s Národní politikou výzkumu, vývoje a inovací </w:t>
      </w:r>
    </w:p>
    <w:p w:rsidR="001B2F84" w:rsidRPr="003B08CE" w:rsidRDefault="008F0EF9" w:rsidP="004458C2">
      <w:pPr>
        <w:pStyle w:val="Normalodsazen"/>
        <w:spacing w:after="240" w:line="276" w:lineRule="auto"/>
        <w:ind w:firstLine="0"/>
        <w:rPr>
          <w:szCs w:val="22"/>
        </w:rPr>
      </w:pPr>
      <w:r>
        <w:rPr>
          <w:szCs w:val="22"/>
        </w:rPr>
        <w:t xml:space="preserve">V </w:t>
      </w:r>
      <w:r w:rsidR="00842BF5" w:rsidRPr="003B08CE">
        <w:rPr>
          <w:szCs w:val="22"/>
        </w:rPr>
        <w:t>Program</w:t>
      </w:r>
      <w:r>
        <w:rPr>
          <w:szCs w:val="22"/>
        </w:rPr>
        <w:t>u</w:t>
      </w:r>
      <w:r w:rsidR="00842BF5" w:rsidRPr="003B08CE">
        <w:rPr>
          <w:szCs w:val="22"/>
        </w:rPr>
        <w:t xml:space="preserve"> </w:t>
      </w:r>
      <w:r>
        <w:rPr>
          <w:szCs w:val="22"/>
        </w:rPr>
        <w:t>se uvádí</w:t>
      </w:r>
      <w:r w:rsidR="00842BF5" w:rsidRPr="003B08CE">
        <w:rPr>
          <w:szCs w:val="22"/>
        </w:rPr>
        <w:t> soulad s Národní politikou výzkumu, vývoje a</w:t>
      </w:r>
      <w:r w:rsidR="00AB5C14" w:rsidRPr="003B08CE">
        <w:rPr>
          <w:szCs w:val="22"/>
        </w:rPr>
        <w:t xml:space="preserve"> inovací České republiky 2021+</w:t>
      </w:r>
      <w:r w:rsidR="003B08CE">
        <w:rPr>
          <w:szCs w:val="22"/>
        </w:rPr>
        <w:t>. S</w:t>
      </w:r>
      <w:r w:rsidR="00842BF5" w:rsidRPr="003B08CE">
        <w:rPr>
          <w:szCs w:val="22"/>
        </w:rPr>
        <w:t xml:space="preserve">vým zaměřením by Program měl přispět k naplnění </w:t>
      </w:r>
      <w:r w:rsidR="003B08CE">
        <w:rPr>
          <w:szCs w:val="22"/>
        </w:rPr>
        <w:t>zejména Opatření</w:t>
      </w:r>
      <w:r w:rsidR="00F114EC">
        <w:rPr>
          <w:szCs w:val="22"/>
        </w:rPr>
        <w:t xml:space="preserve"> č. </w:t>
      </w:r>
      <w:r w:rsidR="00751384">
        <w:rPr>
          <w:szCs w:val="22"/>
        </w:rPr>
        <w:t xml:space="preserve">2 - </w:t>
      </w:r>
      <w:r w:rsidR="00751384" w:rsidRPr="00751384">
        <w:rPr>
          <w:szCs w:val="22"/>
        </w:rPr>
        <w:t>Dlouhodobé strategické analyticky podložené financování systému VaVaI</w:t>
      </w:r>
      <w:r w:rsidR="00751384">
        <w:rPr>
          <w:szCs w:val="22"/>
        </w:rPr>
        <w:t xml:space="preserve">, č. </w:t>
      </w:r>
      <w:r w:rsidR="003B08CE" w:rsidRPr="003B08CE">
        <w:rPr>
          <w:szCs w:val="22"/>
        </w:rPr>
        <w:t>10</w:t>
      </w:r>
      <w:r w:rsidR="00751384">
        <w:rPr>
          <w:szCs w:val="22"/>
        </w:rPr>
        <w:t xml:space="preserve"> -</w:t>
      </w:r>
      <w:r w:rsidR="00751384" w:rsidRPr="00751384">
        <w:rPr>
          <w:szCs w:val="22"/>
        </w:rPr>
        <w:t xml:space="preserve"> Dlouhodobé strategické analyticky podložené financování systému VaVaI</w:t>
      </w:r>
      <w:r w:rsidR="00751384">
        <w:rPr>
          <w:szCs w:val="22"/>
        </w:rPr>
        <w:t xml:space="preserve"> </w:t>
      </w:r>
      <w:r w:rsidR="003B08CE" w:rsidRPr="003B08CE">
        <w:rPr>
          <w:szCs w:val="22"/>
        </w:rPr>
        <w:t>,</w:t>
      </w:r>
      <w:r w:rsidR="00751384">
        <w:rPr>
          <w:szCs w:val="22"/>
        </w:rPr>
        <w:t xml:space="preserve"> č.</w:t>
      </w:r>
      <w:r w:rsidR="003B08CE" w:rsidRPr="003B08CE">
        <w:rPr>
          <w:szCs w:val="22"/>
        </w:rPr>
        <w:t xml:space="preserve"> 11</w:t>
      </w:r>
      <w:r w:rsidR="00751384">
        <w:rPr>
          <w:szCs w:val="22"/>
        </w:rPr>
        <w:t xml:space="preserve"> -</w:t>
      </w:r>
      <w:r w:rsidR="00751384" w:rsidRPr="00751384">
        <w:t xml:space="preserve"> </w:t>
      </w:r>
      <w:r w:rsidR="00751384" w:rsidRPr="00751384">
        <w:rPr>
          <w:szCs w:val="22"/>
        </w:rPr>
        <w:t>Z</w:t>
      </w:r>
      <w:r w:rsidR="00751384">
        <w:rPr>
          <w:szCs w:val="22"/>
        </w:rPr>
        <w:t>ískávání a udržení odborníků ve </w:t>
      </w:r>
      <w:proofErr w:type="spellStart"/>
      <w:r w:rsidR="00751384" w:rsidRPr="00751384">
        <w:rPr>
          <w:szCs w:val="22"/>
        </w:rPr>
        <w:t>VaV</w:t>
      </w:r>
      <w:proofErr w:type="spellEnd"/>
      <w:r w:rsidR="00751384" w:rsidRPr="00751384">
        <w:rPr>
          <w:szCs w:val="22"/>
        </w:rPr>
        <w:t xml:space="preserve"> z ČR i ze zahraničí</w:t>
      </w:r>
      <w:r w:rsidR="003B08CE" w:rsidRPr="003B08CE">
        <w:rPr>
          <w:szCs w:val="22"/>
        </w:rPr>
        <w:t xml:space="preserve"> a</w:t>
      </w:r>
      <w:r w:rsidR="00751384">
        <w:rPr>
          <w:szCs w:val="22"/>
        </w:rPr>
        <w:t xml:space="preserve"> č. 13 - </w:t>
      </w:r>
      <w:r w:rsidR="00751384" w:rsidRPr="00751384">
        <w:rPr>
          <w:szCs w:val="22"/>
        </w:rPr>
        <w:t>Zapojení výzkumných týmů do Horizontu Evropa, případně dalš</w:t>
      </w:r>
      <w:r w:rsidR="00751384">
        <w:rPr>
          <w:szCs w:val="22"/>
        </w:rPr>
        <w:t>ích programů EU, oboustranná me</w:t>
      </w:r>
      <w:r w:rsidR="00751384" w:rsidRPr="00751384">
        <w:rPr>
          <w:szCs w:val="22"/>
        </w:rPr>
        <w:t>zinárodní mobilita a mezinárodní spolupráce výzkumných organiza</w:t>
      </w:r>
      <w:r w:rsidR="00751384">
        <w:rPr>
          <w:szCs w:val="22"/>
        </w:rPr>
        <w:t>cí a podniků, a podpora systémo</w:t>
      </w:r>
      <w:r w:rsidR="00751384" w:rsidRPr="00751384">
        <w:rPr>
          <w:szCs w:val="22"/>
        </w:rPr>
        <w:t>vého zpřístup</w:t>
      </w:r>
      <w:r w:rsidR="00751384">
        <w:rPr>
          <w:szCs w:val="22"/>
        </w:rPr>
        <w:t>ňování výsledků vědy a výzkumu.</w:t>
      </w:r>
    </w:p>
    <w:p w:rsidR="00842BF5" w:rsidRPr="003A4856" w:rsidRDefault="00842BF5" w:rsidP="004458C2">
      <w:pPr>
        <w:pStyle w:val="Normalodsazen"/>
        <w:keepNext/>
        <w:numPr>
          <w:ilvl w:val="0"/>
          <w:numId w:val="21"/>
        </w:numPr>
        <w:spacing w:after="240" w:line="276" w:lineRule="auto"/>
        <w:rPr>
          <w:b/>
          <w:color w:val="0070C0"/>
          <w:szCs w:val="22"/>
        </w:rPr>
      </w:pPr>
      <w:r w:rsidRPr="003A4856">
        <w:rPr>
          <w:b/>
          <w:color w:val="0070C0"/>
          <w:szCs w:val="22"/>
        </w:rPr>
        <w:lastRenderedPageBreak/>
        <w:t xml:space="preserve">Soulad s  Národními prioritami orientovaného výzkumu, experimentálního vývoje a inovací </w:t>
      </w:r>
    </w:p>
    <w:p w:rsidR="00C72A09" w:rsidRPr="003A4856" w:rsidRDefault="003A4856" w:rsidP="004458C2">
      <w:pPr>
        <w:spacing w:after="240" w:line="276" w:lineRule="auto"/>
        <w:jc w:val="both"/>
        <w:rPr>
          <w:rFonts w:ascii="Arial" w:hAnsi="Arial" w:cs="Arial"/>
          <w:sz w:val="22"/>
          <w:szCs w:val="22"/>
        </w:rPr>
      </w:pPr>
      <w:r w:rsidRPr="003A4856">
        <w:rPr>
          <w:rFonts w:ascii="Arial" w:hAnsi="Arial" w:cs="Arial"/>
          <w:sz w:val="22"/>
          <w:szCs w:val="22"/>
        </w:rPr>
        <w:t xml:space="preserve">Program je v souladu s Národními prioritami </w:t>
      </w:r>
      <w:r w:rsidR="00C72A09" w:rsidRPr="003A4856">
        <w:rPr>
          <w:rFonts w:ascii="Arial" w:hAnsi="Arial" w:cs="Arial"/>
          <w:sz w:val="22"/>
          <w:szCs w:val="22"/>
        </w:rPr>
        <w:t>orientovaného výzkumu, experimentálního vývoje a inovací</w:t>
      </w:r>
      <w:r w:rsidRPr="003A4856">
        <w:rPr>
          <w:rFonts w:ascii="Arial" w:hAnsi="Arial" w:cs="Arial"/>
          <w:sz w:val="22"/>
          <w:szCs w:val="22"/>
        </w:rPr>
        <w:t>.</w:t>
      </w:r>
    </w:p>
    <w:p w:rsidR="00842BF5" w:rsidRPr="003A4856" w:rsidRDefault="00842BF5" w:rsidP="004458C2">
      <w:pPr>
        <w:pStyle w:val="Normalodsazen"/>
        <w:keepNext/>
        <w:numPr>
          <w:ilvl w:val="0"/>
          <w:numId w:val="21"/>
        </w:numPr>
        <w:spacing w:after="240" w:line="276" w:lineRule="auto"/>
        <w:rPr>
          <w:b/>
          <w:color w:val="0070C0"/>
          <w:szCs w:val="22"/>
        </w:rPr>
      </w:pPr>
      <w:r w:rsidRPr="003A4856">
        <w:rPr>
          <w:b/>
          <w:color w:val="0070C0"/>
          <w:szCs w:val="22"/>
        </w:rPr>
        <w:t>Soulad s pravidly pro veřejnou podporu</w:t>
      </w:r>
    </w:p>
    <w:p w:rsidR="005A4E69" w:rsidRPr="003A4856" w:rsidRDefault="005A4E69" w:rsidP="00925E55">
      <w:pPr>
        <w:pStyle w:val="Normalodsazen"/>
        <w:keepNext/>
        <w:spacing w:after="240" w:line="276" w:lineRule="auto"/>
        <w:rPr>
          <w:szCs w:val="22"/>
        </w:rPr>
      </w:pPr>
      <w:r w:rsidRPr="003A4856">
        <w:rPr>
          <w:szCs w:val="22"/>
        </w:rPr>
        <w:t>Program bude realizován podle nařízení Komise a Rámce.</w:t>
      </w:r>
      <w:r w:rsidR="00C72A09" w:rsidRPr="003A4856">
        <w:rPr>
          <w:szCs w:val="22"/>
        </w:rPr>
        <w:t xml:space="preserve"> </w:t>
      </w:r>
      <w:r w:rsidR="00925E55">
        <w:rPr>
          <w:szCs w:val="22"/>
        </w:rPr>
        <w:t>J</w:t>
      </w:r>
      <w:r w:rsidR="00925E55" w:rsidRPr="00925E55">
        <w:rPr>
          <w:szCs w:val="22"/>
        </w:rPr>
        <w:t>e zaměřen na podporu projektů, které dle čl. 25 odst. 2 písm. b) a c) a čl. 25e Nařízení a čl. 1.</w:t>
      </w:r>
      <w:r w:rsidR="00F114EC">
        <w:rPr>
          <w:szCs w:val="22"/>
        </w:rPr>
        <w:t xml:space="preserve"> </w:t>
      </w:r>
      <w:r w:rsidR="00925E55" w:rsidRPr="00925E55">
        <w:rPr>
          <w:szCs w:val="22"/>
        </w:rPr>
        <w:t>3. písm. e) Rámce spadají do kategorie aplikovaného výzkumu (zahrnuje průmyslový výzkum, experimentální vývoj nebo jejich kombinaci), dále také inovace dle č. 28 a 29 Nařízení a</w:t>
      </w:r>
      <w:r w:rsidR="00925E55">
        <w:rPr>
          <w:szCs w:val="22"/>
        </w:rPr>
        <w:t xml:space="preserve"> čl. 1.3 písm. t) a </w:t>
      </w:r>
      <w:proofErr w:type="spellStart"/>
      <w:r w:rsidR="00925E55">
        <w:rPr>
          <w:szCs w:val="22"/>
        </w:rPr>
        <w:t>bb</w:t>
      </w:r>
      <w:proofErr w:type="spellEnd"/>
      <w:r w:rsidR="00925E55">
        <w:rPr>
          <w:szCs w:val="22"/>
        </w:rPr>
        <w:t xml:space="preserve">) Rámce. </w:t>
      </w:r>
      <w:r w:rsidR="00925E55" w:rsidRPr="00925E55">
        <w:rPr>
          <w:szCs w:val="22"/>
        </w:rPr>
        <w:t xml:space="preserve">Program </w:t>
      </w:r>
      <w:r w:rsidR="00925E55">
        <w:rPr>
          <w:szCs w:val="22"/>
        </w:rPr>
        <w:t>by měl sloužit</w:t>
      </w:r>
      <w:r w:rsidR="00925E55" w:rsidRPr="00925E55">
        <w:rPr>
          <w:szCs w:val="22"/>
        </w:rPr>
        <w:t xml:space="preserve"> k naplňování synergických a komplementárních efektů zejména s Evropským obranným fondem (a případnými navazujícími programy). </w:t>
      </w:r>
    </w:p>
    <w:p w:rsidR="00842BF5" w:rsidRPr="00ED2A44" w:rsidRDefault="00603A32" w:rsidP="004458C2">
      <w:pPr>
        <w:pStyle w:val="Normalodsazen"/>
        <w:keepNext/>
        <w:numPr>
          <w:ilvl w:val="0"/>
          <w:numId w:val="21"/>
        </w:numPr>
        <w:spacing w:after="240" w:line="276" w:lineRule="auto"/>
        <w:rPr>
          <w:b/>
          <w:color w:val="0070C0"/>
          <w:szCs w:val="22"/>
        </w:rPr>
      </w:pPr>
      <w:r w:rsidRPr="00ED2A44">
        <w:rPr>
          <w:b/>
          <w:color w:val="0070C0"/>
          <w:szCs w:val="22"/>
        </w:rPr>
        <w:t>Souhrnné a věcné zhodnocení materiálu Radou</w:t>
      </w:r>
    </w:p>
    <w:p w:rsidR="00CE0EC6" w:rsidRPr="00CE0EC6" w:rsidRDefault="008F0EF9" w:rsidP="00CE0EC6">
      <w:pPr>
        <w:autoSpaceDE w:val="0"/>
        <w:autoSpaceDN w:val="0"/>
        <w:adjustRightInd w:val="0"/>
        <w:spacing w:after="24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Jedním z hlavních cílů P</w:t>
      </w:r>
      <w:r w:rsidR="00CE0EC6">
        <w:rPr>
          <w:rFonts w:ascii="Arial" w:eastAsiaTheme="minorHAnsi" w:hAnsi="Arial" w:cs="Arial"/>
          <w:sz w:val="22"/>
          <w:szCs w:val="22"/>
          <w:lang w:eastAsia="en-US"/>
        </w:rPr>
        <w:t>rogramu je snížit absenci</w:t>
      </w:r>
      <w:r w:rsidR="00CE0EC6" w:rsidRPr="00CE0EC6">
        <w:rPr>
          <w:rFonts w:ascii="Arial" w:eastAsiaTheme="minorHAnsi" w:hAnsi="Arial" w:cs="Arial"/>
          <w:sz w:val="22"/>
          <w:szCs w:val="22"/>
          <w:lang w:eastAsia="en-US"/>
        </w:rPr>
        <w:t xml:space="preserve"> národního nástroje na dofinancování účasti českých uchazečů v EDF projektech. Na snižování tohoto nerovného p</w:t>
      </w:r>
      <w:r w:rsidR="0009372F">
        <w:rPr>
          <w:rFonts w:ascii="Arial" w:eastAsiaTheme="minorHAnsi" w:hAnsi="Arial" w:cs="Arial"/>
          <w:sz w:val="22"/>
          <w:szCs w:val="22"/>
          <w:lang w:eastAsia="en-US"/>
        </w:rPr>
        <w:t>ostavení je zaměřena realizace P</w:t>
      </w:r>
      <w:r w:rsidR="00CE0EC6" w:rsidRPr="00CE0EC6">
        <w:rPr>
          <w:rFonts w:ascii="Arial" w:eastAsiaTheme="minorHAnsi" w:hAnsi="Arial" w:cs="Arial"/>
          <w:sz w:val="22"/>
          <w:szCs w:val="22"/>
          <w:lang w:eastAsia="en-US"/>
        </w:rPr>
        <w:t>odprogramu 1. Prostřednictvím takového finančního nástroje budou mít české subjekty lepší možnosti konkurovat a plněji rozvinout</w:t>
      </w:r>
      <w:r w:rsidR="00CE0EC6">
        <w:rPr>
          <w:rFonts w:ascii="Arial" w:eastAsiaTheme="minorHAnsi" w:hAnsi="Arial" w:cs="Arial"/>
          <w:sz w:val="22"/>
          <w:szCs w:val="22"/>
          <w:lang w:eastAsia="en-US"/>
        </w:rPr>
        <w:t xml:space="preserve"> svůj potenciál ve spolupráci s </w:t>
      </w:r>
      <w:r w:rsidR="00CE0EC6" w:rsidRPr="00CE0EC6">
        <w:rPr>
          <w:rFonts w:ascii="Arial" w:eastAsiaTheme="minorHAnsi" w:hAnsi="Arial" w:cs="Arial"/>
          <w:sz w:val="22"/>
          <w:szCs w:val="22"/>
          <w:lang w:eastAsia="en-US"/>
        </w:rPr>
        <w:t>mezinárodními partner</w:t>
      </w:r>
      <w:r w:rsidR="00CE0EC6">
        <w:rPr>
          <w:rFonts w:ascii="Arial" w:eastAsiaTheme="minorHAnsi" w:hAnsi="Arial" w:cs="Arial"/>
          <w:sz w:val="22"/>
          <w:szCs w:val="22"/>
          <w:lang w:eastAsia="en-US"/>
        </w:rPr>
        <w:t>y. Podporované iniciativy by měly posílit</w:t>
      </w:r>
      <w:r w:rsidR="00CE0EC6" w:rsidRPr="00CE0EC6">
        <w:rPr>
          <w:rFonts w:ascii="Arial" w:eastAsiaTheme="minorHAnsi" w:hAnsi="Arial" w:cs="Arial"/>
          <w:sz w:val="22"/>
          <w:szCs w:val="22"/>
          <w:lang w:eastAsia="en-US"/>
        </w:rPr>
        <w:t xml:space="preserve"> postavení českých subjektů v mezinárodních dod</w:t>
      </w:r>
      <w:r w:rsidR="00CE0EC6">
        <w:rPr>
          <w:rFonts w:ascii="Arial" w:eastAsiaTheme="minorHAnsi" w:hAnsi="Arial" w:cs="Arial"/>
          <w:sz w:val="22"/>
          <w:szCs w:val="22"/>
          <w:lang w:eastAsia="en-US"/>
        </w:rPr>
        <w:t>avatelských řetězcích a přispět</w:t>
      </w:r>
      <w:r w:rsidR="00CE0EC6" w:rsidRPr="00CE0EC6">
        <w:rPr>
          <w:rFonts w:ascii="Arial" w:eastAsiaTheme="minorHAnsi" w:hAnsi="Arial" w:cs="Arial"/>
          <w:sz w:val="22"/>
          <w:szCs w:val="22"/>
          <w:lang w:eastAsia="en-US"/>
        </w:rPr>
        <w:t xml:space="preserve"> ke zvýšení celkové spolupráce a v</w:t>
      </w:r>
      <w:r w:rsidR="00CE0EC6">
        <w:rPr>
          <w:rFonts w:ascii="Arial" w:eastAsiaTheme="minorHAnsi" w:hAnsi="Arial" w:cs="Arial"/>
          <w:sz w:val="22"/>
          <w:szCs w:val="22"/>
          <w:lang w:eastAsia="en-US"/>
        </w:rPr>
        <w:t>ýměny know-how mezi zeměmi EU v </w:t>
      </w:r>
      <w:r w:rsidR="00CE0EC6" w:rsidRPr="00CE0EC6">
        <w:rPr>
          <w:rFonts w:ascii="Arial" w:eastAsiaTheme="minorHAnsi" w:hAnsi="Arial" w:cs="Arial"/>
          <w:sz w:val="22"/>
          <w:szCs w:val="22"/>
          <w:lang w:eastAsia="en-US"/>
        </w:rPr>
        <w:t>oblasti obranného výzkumu a inovací. Společná práce na mezinárodní úrovni přinese nové příležitosti a zvýšení bezpečnosti a konkurenceschopnosti ČR a EU v oblasti obrany.</w:t>
      </w:r>
    </w:p>
    <w:p w:rsidR="0009372F" w:rsidRDefault="00CE0EC6" w:rsidP="00CE0EC6">
      <w:pPr>
        <w:autoSpaceDE w:val="0"/>
        <w:autoSpaceDN w:val="0"/>
        <w:adjustRightInd w:val="0"/>
        <w:spacing w:after="24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Český obranný průmysl je</w:t>
      </w:r>
      <w:r w:rsidRPr="00CE0EC6">
        <w:rPr>
          <w:rFonts w:ascii="Arial" w:eastAsiaTheme="minorHAnsi" w:hAnsi="Arial" w:cs="Arial"/>
          <w:sz w:val="22"/>
          <w:szCs w:val="22"/>
          <w:lang w:eastAsia="en-US"/>
        </w:rPr>
        <w:t xml:space="preserve"> limitován nejen omezeným počtem dodavatelů finálních vojenských technologií a jejich relevantností pro reálné využití v praxi, ale i malým zaměřením na řešení humanitních/společenských (a obecně sociálně-vědních) problémů v oblasti obrany.</w:t>
      </w:r>
      <w:r w:rsidR="0009372F">
        <w:rPr>
          <w:rFonts w:ascii="Arial" w:eastAsiaTheme="minorHAnsi" w:hAnsi="Arial" w:cs="Arial"/>
          <w:sz w:val="22"/>
          <w:szCs w:val="22"/>
          <w:lang w:eastAsia="en-US"/>
        </w:rPr>
        <w:t xml:space="preserve"> </w:t>
      </w:r>
      <w:r w:rsidRPr="00CE0EC6">
        <w:rPr>
          <w:rFonts w:ascii="Arial" w:eastAsiaTheme="minorHAnsi" w:hAnsi="Arial" w:cs="Arial"/>
          <w:sz w:val="22"/>
          <w:szCs w:val="22"/>
          <w:lang w:eastAsia="en-US"/>
        </w:rPr>
        <w:t>Tyto limity mohou vést k obtížím při aplikaci výsledků obranného výzkumu do praxe a částečně při zúročení investovaných prostředků ve výsledný</w:t>
      </w:r>
      <w:r>
        <w:rPr>
          <w:rFonts w:ascii="Arial" w:eastAsiaTheme="minorHAnsi" w:hAnsi="Arial" w:cs="Arial"/>
          <w:sz w:val="22"/>
          <w:szCs w:val="22"/>
          <w:lang w:eastAsia="en-US"/>
        </w:rPr>
        <w:t>ch produktech.</w:t>
      </w:r>
      <w:r w:rsidRPr="00CE0EC6">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Zapojením nových subjektů je možné </w:t>
      </w:r>
      <w:r w:rsidRPr="00CE0EC6">
        <w:rPr>
          <w:rFonts w:ascii="Arial" w:eastAsiaTheme="minorHAnsi" w:hAnsi="Arial" w:cs="Arial"/>
          <w:sz w:val="22"/>
          <w:szCs w:val="22"/>
          <w:lang w:eastAsia="en-US"/>
        </w:rPr>
        <w:t xml:space="preserve">dosáhnout vyšší </w:t>
      </w:r>
      <w:proofErr w:type="spellStart"/>
      <w:r w:rsidRPr="00CE0EC6">
        <w:rPr>
          <w:rFonts w:ascii="Arial" w:eastAsiaTheme="minorHAnsi" w:hAnsi="Arial" w:cs="Arial"/>
          <w:sz w:val="22"/>
          <w:szCs w:val="22"/>
          <w:lang w:eastAsia="en-US"/>
        </w:rPr>
        <w:t>multidisciplinarity</w:t>
      </w:r>
      <w:proofErr w:type="spellEnd"/>
      <w:r w:rsidRPr="00CE0EC6">
        <w:rPr>
          <w:rFonts w:ascii="Arial" w:eastAsiaTheme="minorHAnsi" w:hAnsi="Arial" w:cs="Arial"/>
          <w:sz w:val="22"/>
          <w:szCs w:val="22"/>
          <w:lang w:eastAsia="en-US"/>
        </w:rPr>
        <w:t xml:space="preserve">. </w:t>
      </w:r>
    </w:p>
    <w:p w:rsidR="009A6D64" w:rsidRPr="0009372F" w:rsidRDefault="00CE0EC6" w:rsidP="00CE0EC6">
      <w:pPr>
        <w:autoSpaceDE w:val="0"/>
        <w:autoSpaceDN w:val="0"/>
        <w:adjustRightInd w:val="0"/>
        <w:spacing w:after="240" w:line="276" w:lineRule="auto"/>
        <w:jc w:val="both"/>
        <w:rPr>
          <w:rFonts w:ascii="Arial" w:eastAsiaTheme="minorHAnsi" w:hAnsi="Arial" w:cs="Arial"/>
          <w:sz w:val="22"/>
          <w:szCs w:val="22"/>
          <w:lang w:eastAsia="en-US"/>
        </w:rPr>
      </w:pPr>
      <w:r w:rsidRPr="00CE0EC6">
        <w:rPr>
          <w:rFonts w:ascii="Arial" w:eastAsiaTheme="minorHAnsi" w:hAnsi="Arial" w:cs="Arial"/>
          <w:sz w:val="22"/>
          <w:szCs w:val="22"/>
          <w:lang w:eastAsia="en-US"/>
        </w:rPr>
        <w:t>Jedním z nástrojů, který má ambice napomoci efektivní</w:t>
      </w:r>
      <w:r w:rsidR="0009372F">
        <w:rPr>
          <w:rFonts w:ascii="Arial" w:eastAsiaTheme="minorHAnsi" w:hAnsi="Arial" w:cs="Arial"/>
          <w:sz w:val="22"/>
          <w:szCs w:val="22"/>
          <w:lang w:eastAsia="en-US"/>
        </w:rPr>
        <w:t xml:space="preserve"> podpoře aplikovaného výzkumu v </w:t>
      </w:r>
      <w:r w:rsidRPr="00CE0EC6">
        <w:rPr>
          <w:rFonts w:ascii="Arial" w:eastAsiaTheme="minorHAnsi" w:hAnsi="Arial" w:cs="Arial"/>
          <w:sz w:val="22"/>
          <w:szCs w:val="22"/>
          <w:lang w:eastAsia="en-US"/>
        </w:rPr>
        <w:t xml:space="preserve">oblasti </w:t>
      </w:r>
      <w:r w:rsidR="0009372F">
        <w:rPr>
          <w:rFonts w:ascii="Arial" w:eastAsiaTheme="minorHAnsi" w:hAnsi="Arial" w:cs="Arial"/>
          <w:sz w:val="22"/>
          <w:szCs w:val="22"/>
          <w:lang w:eastAsia="en-US"/>
        </w:rPr>
        <w:t>obrany v České republice, je P</w:t>
      </w:r>
      <w:r w:rsidRPr="00CE0EC6">
        <w:rPr>
          <w:rFonts w:ascii="Arial" w:eastAsiaTheme="minorHAnsi" w:hAnsi="Arial" w:cs="Arial"/>
          <w:sz w:val="22"/>
          <w:szCs w:val="22"/>
          <w:lang w:eastAsia="en-US"/>
        </w:rPr>
        <w:t xml:space="preserve">odprogram 2. Ten </w:t>
      </w:r>
      <w:r w:rsidR="0009372F">
        <w:rPr>
          <w:rFonts w:ascii="Arial" w:eastAsiaTheme="minorHAnsi" w:hAnsi="Arial" w:cs="Arial"/>
          <w:sz w:val="22"/>
          <w:szCs w:val="22"/>
          <w:lang w:eastAsia="en-US"/>
        </w:rPr>
        <w:t>je určen pro národní projekty v </w:t>
      </w:r>
      <w:r w:rsidRPr="00CE0EC6">
        <w:rPr>
          <w:rFonts w:ascii="Arial" w:eastAsiaTheme="minorHAnsi" w:hAnsi="Arial" w:cs="Arial"/>
          <w:sz w:val="22"/>
          <w:szCs w:val="22"/>
          <w:lang w:eastAsia="en-US"/>
        </w:rPr>
        <w:t>oblasti obranného výzkumu a podporuje národní výzkumnou a inovační činnost</w:t>
      </w:r>
      <w:r>
        <w:rPr>
          <w:rFonts w:ascii="Arial" w:eastAsiaTheme="minorHAnsi" w:hAnsi="Arial" w:cs="Arial"/>
          <w:sz w:val="22"/>
          <w:szCs w:val="22"/>
          <w:lang w:eastAsia="en-US"/>
        </w:rPr>
        <w:t>. Díky tomu by mělo</w:t>
      </w:r>
      <w:r w:rsidRPr="00CE0EC6">
        <w:rPr>
          <w:rFonts w:ascii="Arial" w:eastAsiaTheme="minorHAnsi" w:hAnsi="Arial" w:cs="Arial"/>
          <w:sz w:val="22"/>
          <w:szCs w:val="22"/>
          <w:lang w:eastAsia="en-US"/>
        </w:rPr>
        <w:t xml:space="preserve"> docházet k</w:t>
      </w:r>
      <w:r>
        <w:rPr>
          <w:rFonts w:ascii="Arial" w:eastAsiaTheme="minorHAnsi" w:hAnsi="Arial" w:cs="Arial"/>
          <w:sz w:val="22"/>
          <w:szCs w:val="22"/>
          <w:lang w:eastAsia="en-US"/>
        </w:rPr>
        <w:t>e vzniku relevantních výstupů a </w:t>
      </w:r>
      <w:r w:rsidRPr="00CE0EC6">
        <w:rPr>
          <w:rFonts w:ascii="Arial" w:eastAsiaTheme="minorHAnsi" w:hAnsi="Arial" w:cs="Arial"/>
          <w:sz w:val="22"/>
          <w:szCs w:val="22"/>
          <w:lang w:eastAsia="en-US"/>
        </w:rPr>
        <w:t xml:space="preserve">výsledků, které by byly využitelné nejen pro Armádu </w:t>
      </w:r>
      <w:r>
        <w:rPr>
          <w:rFonts w:ascii="Arial" w:eastAsiaTheme="minorHAnsi" w:hAnsi="Arial" w:cs="Arial"/>
          <w:sz w:val="22"/>
          <w:szCs w:val="22"/>
          <w:lang w:eastAsia="en-US"/>
        </w:rPr>
        <w:t>České republiky. Podprogram by měl</w:t>
      </w:r>
      <w:r w:rsidRPr="00CE0EC6">
        <w:rPr>
          <w:rFonts w:ascii="Arial" w:eastAsiaTheme="minorHAnsi" w:hAnsi="Arial" w:cs="Arial"/>
          <w:sz w:val="22"/>
          <w:szCs w:val="22"/>
          <w:lang w:eastAsia="en-US"/>
        </w:rPr>
        <w:t xml:space="preserve"> mít přízniv</w:t>
      </w:r>
      <w:r w:rsidR="0009372F">
        <w:rPr>
          <w:rFonts w:ascii="Arial" w:eastAsiaTheme="minorHAnsi" w:hAnsi="Arial" w:cs="Arial"/>
          <w:sz w:val="22"/>
          <w:szCs w:val="22"/>
          <w:lang w:eastAsia="en-US"/>
        </w:rPr>
        <w:t>ý vliv na zvýšení bezpečnosti a </w:t>
      </w:r>
      <w:r w:rsidRPr="00CE0EC6">
        <w:rPr>
          <w:rFonts w:ascii="Arial" w:eastAsiaTheme="minorHAnsi" w:hAnsi="Arial" w:cs="Arial"/>
          <w:sz w:val="22"/>
          <w:szCs w:val="22"/>
          <w:lang w:eastAsia="en-US"/>
        </w:rPr>
        <w:t>obrany státu díky rozvoji technologií, které budou po</w:t>
      </w:r>
      <w:r w:rsidR="0009372F">
        <w:rPr>
          <w:rFonts w:ascii="Arial" w:eastAsiaTheme="minorHAnsi" w:hAnsi="Arial" w:cs="Arial"/>
          <w:sz w:val="22"/>
          <w:szCs w:val="22"/>
          <w:lang w:eastAsia="en-US"/>
        </w:rPr>
        <w:t>silovat obrannou schopnost ČR a </w:t>
      </w:r>
      <w:r w:rsidRPr="00CE0EC6">
        <w:rPr>
          <w:rFonts w:ascii="Arial" w:eastAsiaTheme="minorHAnsi" w:hAnsi="Arial" w:cs="Arial"/>
          <w:sz w:val="22"/>
          <w:szCs w:val="22"/>
          <w:lang w:eastAsia="en-US"/>
        </w:rPr>
        <w:t>zároveň podpora projektů s humanitním zaměřením přinese možnosti řešení společenských a etických problémů, které jsou úzce spjaty s aktuální situací v armádě a ozbrojených silách. S rozšíř</w:t>
      </w:r>
      <w:r>
        <w:rPr>
          <w:rFonts w:ascii="Arial" w:eastAsiaTheme="minorHAnsi" w:hAnsi="Arial" w:cs="Arial"/>
          <w:sz w:val="22"/>
          <w:szCs w:val="22"/>
          <w:lang w:eastAsia="en-US"/>
        </w:rPr>
        <w:t>ením zapojení nových subjektů a </w:t>
      </w:r>
      <w:r w:rsidRPr="00CE0EC6">
        <w:rPr>
          <w:rFonts w:ascii="Arial" w:eastAsiaTheme="minorHAnsi" w:hAnsi="Arial" w:cs="Arial"/>
          <w:sz w:val="22"/>
          <w:szCs w:val="22"/>
          <w:lang w:eastAsia="en-US"/>
        </w:rPr>
        <w:t xml:space="preserve">multidisciplinárním </w:t>
      </w:r>
      <w:r>
        <w:rPr>
          <w:rFonts w:ascii="Arial" w:eastAsiaTheme="minorHAnsi" w:hAnsi="Arial" w:cs="Arial"/>
          <w:sz w:val="22"/>
          <w:szCs w:val="22"/>
          <w:lang w:eastAsia="en-US"/>
        </w:rPr>
        <w:t>přístupem by mělo dojít k posílení</w:t>
      </w:r>
      <w:r w:rsidRPr="00CE0EC6">
        <w:rPr>
          <w:rFonts w:ascii="Arial" w:eastAsiaTheme="minorHAnsi" w:hAnsi="Arial" w:cs="Arial"/>
          <w:sz w:val="22"/>
          <w:szCs w:val="22"/>
          <w:lang w:eastAsia="en-US"/>
        </w:rPr>
        <w:t xml:space="preserve"> bezpečnost</w:t>
      </w:r>
      <w:r>
        <w:rPr>
          <w:rFonts w:ascii="Arial" w:eastAsiaTheme="minorHAnsi" w:hAnsi="Arial" w:cs="Arial"/>
          <w:sz w:val="22"/>
          <w:szCs w:val="22"/>
          <w:lang w:eastAsia="en-US"/>
        </w:rPr>
        <w:t>i, ekonomiky a inovací v České republice.</w:t>
      </w:r>
    </w:p>
    <w:p w:rsidR="00637D93" w:rsidRPr="00D815E6" w:rsidRDefault="00C15553" w:rsidP="004458C2">
      <w:pPr>
        <w:pStyle w:val="Normalodsazen"/>
        <w:keepNext/>
        <w:numPr>
          <w:ilvl w:val="0"/>
          <w:numId w:val="21"/>
        </w:numPr>
        <w:spacing w:after="240" w:line="276" w:lineRule="auto"/>
        <w:ind w:left="1077" w:hanging="357"/>
        <w:rPr>
          <w:b/>
          <w:color w:val="0070C0"/>
          <w:szCs w:val="22"/>
        </w:rPr>
      </w:pPr>
      <w:r w:rsidRPr="00D815E6">
        <w:rPr>
          <w:b/>
          <w:color w:val="0070C0"/>
          <w:szCs w:val="22"/>
        </w:rPr>
        <w:lastRenderedPageBreak/>
        <w:t xml:space="preserve">K materiálu </w:t>
      </w:r>
      <w:r w:rsidR="00EC3B82" w:rsidRPr="00D815E6">
        <w:rPr>
          <w:b/>
          <w:color w:val="0070C0"/>
          <w:szCs w:val="22"/>
        </w:rPr>
        <w:t>předkládanému</w:t>
      </w:r>
      <w:r w:rsidR="00637D93" w:rsidRPr="00D815E6">
        <w:rPr>
          <w:b/>
          <w:color w:val="0070C0"/>
          <w:szCs w:val="22"/>
        </w:rPr>
        <w:t xml:space="preserve"> na jednání vlády</w:t>
      </w:r>
    </w:p>
    <w:p w:rsidR="00C15553" w:rsidRPr="00D815E6" w:rsidRDefault="00C15553" w:rsidP="004458C2">
      <w:pPr>
        <w:pStyle w:val="Normalodsazen"/>
        <w:spacing w:after="240" w:line="276" w:lineRule="auto"/>
        <w:ind w:firstLine="0"/>
        <w:rPr>
          <w:szCs w:val="22"/>
        </w:rPr>
      </w:pPr>
      <w:r w:rsidRPr="00D815E6">
        <w:rPr>
          <w:szCs w:val="22"/>
        </w:rPr>
        <w:t xml:space="preserve">Předložený návrh </w:t>
      </w:r>
      <w:r w:rsidR="008F0EF9">
        <w:rPr>
          <w:szCs w:val="22"/>
        </w:rPr>
        <w:t>P</w:t>
      </w:r>
      <w:r w:rsidRPr="00D815E6">
        <w:rPr>
          <w:szCs w:val="22"/>
        </w:rPr>
        <w:t>rogramu obsahuje všechny náležitosti, které musí být podle Jednacího řádu součástí materiálu předkládaného na jednání vlády.</w:t>
      </w:r>
    </w:p>
    <w:p w:rsidR="009B6CEE" w:rsidRPr="003F4E97" w:rsidRDefault="007E0D92" w:rsidP="004458C2">
      <w:pPr>
        <w:pStyle w:val="Normalodsazen"/>
        <w:keepNext/>
        <w:numPr>
          <w:ilvl w:val="0"/>
          <w:numId w:val="21"/>
        </w:numPr>
        <w:spacing w:after="240" w:line="276" w:lineRule="auto"/>
        <w:rPr>
          <w:b/>
          <w:color w:val="0070C0"/>
          <w:szCs w:val="22"/>
        </w:rPr>
      </w:pPr>
      <w:r w:rsidRPr="003F4E97">
        <w:rPr>
          <w:b/>
          <w:color w:val="0070C0"/>
          <w:szCs w:val="22"/>
        </w:rPr>
        <w:t>Vyjádření Komise pro hodnocení výsledků a ukončených programů</w:t>
      </w:r>
    </w:p>
    <w:p w:rsidR="00ED3C13" w:rsidRPr="00ED3C13" w:rsidRDefault="007E6570" w:rsidP="00ED3C13">
      <w:pPr>
        <w:autoSpaceDE w:val="0"/>
        <w:autoSpaceDN w:val="0"/>
        <w:adjustRightInd w:val="0"/>
        <w:spacing w:after="240" w:line="276" w:lineRule="auto"/>
        <w:jc w:val="both"/>
        <w:rPr>
          <w:rFonts w:ascii="Arial" w:eastAsiaTheme="minorHAnsi" w:hAnsi="Arial" w:cs="Arial"/>
          <w:sz w:val="22"/>
          <w:szCs w:val="22"/>
          <w:lang w:eastAsia="en-US"/>
        </w:rPr>
      </w:pPr>
      <w:r w:rsidRPr="005150A8">
        <w:rPr>
          <w:rFonts w:ascii="Arial" w:eastAsiaTheme="minorHAnsi" w:hAnsi="Arial" w:cs="Arial"/>
          <w:sz w:val="22"/>
          <w:szCs w:val="22"/>
          <w:lang w:eastAsia="en-US"/>
        </w:rPr>
        <w:t>Komise pro hodnocení výsledků a ukončených programů (dále jen „</w:t>
      </w:r>
      <w:r w:rsidR="009B6CEE" w:rsidRPr="005150A8">
        <w:rPr>
          <w:rFonts w:ascii="Arial" w:eastAsiaTheme="minorHAnsi" w:hAnsi="Arial" w:cs="Arial"/>
          <w:sz w:val="22"/>
          <w:szCs w:val="22"/>
          <w:lang w:eastAsia="en-US"/>
        </w:rPr>
        <w:t>KHV</w:t>
      </w:r>
      <w:r w:rsidRPr="005150A8">
        <w:rPr>
          <w:rFonts w:ascii="Arial" w:eastAsiaTheme="minorHAnsi" w:hAnsi="Arial" w:cs="Arial"/>
          <w:sz w:val="22"/>
          <w:szCs w:val="22"/>
          <w:lang w:eastAsia="en-US"/>
        </w:rPr>
        <w:t>“)</w:t>
      </w:r>
      <w:r w:rsidR="009B6CEE" w:rsidRPr="005150A8">
        <w:rPr>
          <w:rFonts w:ascii="Arial" w:eastAsiaTheme="minorHAnsi" w:hAnsi="Arial" w:cs="Arial"/>
          <w:sz w:val="22"/>
          <w:szCs w:val="22"/>
          <w:lang w:eastAsia="en-US"/>
        </w:rPr>
        <w:t xml:space="preserve"> </w:t>
      </w:r>
      <w:r w:rsidR="00ED3C13">
        <w:rPr>
          <w:rFonts w:ascii="Arial" w:eastAsiaTheme="minorHAnsi" w:hAnsi="Arial" w:cs="Arial"/>
          <w:sz w:val="22"/>
          <w:szCs w:val="22"/>
          <w:lang w:eastAsia="en-US"/>
        </w:rPr>
        <w:t xml:space="preserve">projednala návrh Programu dne 10. října 2023 a vydala k předloženému dokumentu </w:t>
      </w:r>
      <w:r w:rsidR="00CA33F2">
        <w:rPr>
          <w:rFonts w:ascii="Arial" w:eastAsiaTheme="minorHAnsi" w:hAnsi="Arial" w:cs="Arial"/>
          <w:sz w:val="22"/>
          <w:szCs w:val="22"/>
          <w:lang w:eastAsia="en-US"/>
        </w:rPr>
        <w:t>vyjádření</w:t>
      </w:r>
      <w:r w:rsidR="00ED3C13">
        <w:rPr>
          <w:rFonts w:ascii="Arial" w:eastAsiaTheme="minorHAnsi" w:hAnsi="Arial" w:cs="Arial"/>
          <w:sz w:val="22"/>
          <w:szCs w:val="22"/>
          <w:lang w:eastAsia="en-US"/>
        </w:rPr>
        <w:t xml:space="preserve">. Na základě připomínek KHV byl návrh Programu Ministerstvem obrany upraven a znovu předložen KHV, která revidovaný dokument dne 4. prosince 2023 opět projednala </w:t>
      </w:r>
      <w:r w:rsidR="00ED3C13" w:rsidRPr="00ED3C13">
        <w:rPr>
          <w:rFonts w:ascii="Arial" w:eastAsiaTheme="minorHAnsi" w:hAnsi="Arial" w:cs="Arial"/>
          <w:sz w:val="22"/>
          <w:szCs w:val="22"/>
          <w:lang w:eastAsia="en-US"/>
        </w:rPr>
        <w:t xml:space="preserve">a </w:t>
      </w:r>
      <w:r w:rsidR="00ED3C13">
        <w:rPr>
          <w:rFonts w:ascii="Arial" w:eastAsiaTheme="minorHAnsi" w:hAnsi="Arial" w:cs="Arial"/>
          <w:sz w:val="22"/>
          <w:szCs w:val="22"/>
          <w:lang w:eastAsia="en-US"/>
        </w:rPr>
        <w:t>vydala toto vy</w:t>
      </w:r>
      <w:r w:rsidR="00ED3C13" w:rsidRPr="00ED3C13">
        <w:rPr>
          <w:rFonts w:ascii="Arial" w:eastAsiaTheme="minorHAnsi" w:hAnsi="Arial" w:cs="Arial"/>
          <w:sz w:val="22"/>
          <w:szCs w:val="22"/>
          <w:lang w:eastAsia="en-US"/>
        </w:rPr>
        <w:t>jádření:</w:t>
      </w:r>
    </w:p>
    <w:p w:rsidR="00C768DC" w:rsidRPr="00ED3C13" w:rsidRDefault="00ED3C13" w:rsidP="00ED3C13">
      <w:pPr>
        <w:autoSpaceDE w:val="0"/>
        <w:autoSpaceDN w:val="0"/>
        <w:adjustRightInd w:val="0"/>
        <w:spacing w:after="240" w:line="276" w:lineRule="auto"/>
        <w:jc w:val="both"/>
        <w:rPr>
          <w:rFonts w:ascii="Arial" w:eastAsiaTheme="minorHAnsi" w:hAnsi="Arial" w:cs="Arial"/>
          <w:i/>
          <w:sz w:val="22"/>
          <w:szCs w:val="22"/>
          <w:lang w:eastAsia="en-US"/>
        </w:rPr>
      </w:pPr>
      <w:r w:rsidRPr="00ED3C13">
        <w:rPr>
          <w:rFonts w:ascii="Arial" w:eastAsiaTheme="minorHAnsi" w:hAnsi="Arial" w:cs="Arial"/>
          <w:i/>
          <w:sz w:val="22"/>
          <w:szCs w:val="22"/>
        </w:rPr>
        <w:t>Vypořádání připomínek k programu PRODEF by</w:t>
      </w:r>
      <w:r w:rsidR="00655B50">
        <w:rPr>
          <w:rFonts w:ascii="Arial" w:eastAsiaTheme="minorHAnsi" w:hAnsi="Arial" w:cs="Arial"/>
          <w:i/>
          <w:sz w:val="22"/>
          <w:szCs w:val="22"/>
        </w:rPr>
        <w:t>lo KHV akceptováno a KHV nemá k </w:t>
      </w:r>
      <w:r w:rsidRPr="00ED3C13">
        <w:rPr>
          <w:rFonts w:ascii="Arial" w:eastAsiaTheme="minorHAnsi" w:hAnsi="Arial" w:cs="Arial"/>
          <w:i/>
          <w:sz w:val="22"/>
          <w:szCs w:val="22"/>
        </w:rPr>
        <w:t>revidovanému návrhu programu žádné další připomínky</w:t>
      </w:r>
      <w:r w:rsidR="00C768DC" w:rsidRPr="00ED3C13">
        <w:rPr>
          <w:rFonts w:ascii="Arial" w:hAnsi="Arial" w:cs="Arial"/>
          <w:i/>
          <w:sz w:val="22"/>
          <w:szCs w:val="22"/>
        </w:rPr>
        <w:t>.</w:t>
      </w:r>
    </w:p>
    <w:p w:rsidR="00C768DC" w:rsidRDefault="00C768DC" w:rsidP="004458C2">
      <w:pPr>
        <w:pStyle w:val="Normalodsazen"/>
        <w:keepNext/>
        <w:spacing w:after="240" w:line="276" w:lineRule="auto"/>
        <w:ind w:firstLine="0"/>
        <w:rPr>
          <w:rFonts w:eastAsia="Times New Roman"/>
          <w:szCs w:val="22"/>
          <w:highlight w:val="yellow"/>
          <w:lang w:eastAsia="cs-CZ"/>
        </w:rPr>
      </w:pPr>
    </w:p>
    <w:p w:rsidR="007E0D92" w:rsidRPr="00C768DC" w:rsidRDefault="005D2401" w:rsidP="004C2615">
      <w:pPr>
        <w:pStyle w:val="Normalodsazen"/>
        <w:keepNext/>
        <w:numPr>
          <w:ilvl w:val="0"/>
          <w:numId w:val="21"/>
        </w:numPr>
        <w:spacing w:after="240" w:line="276" w:lineRule="auto"/>
        <w:ind w:left="1077" w:hanging="357"/>
        <w:rPr>
          <w:b/>
          <w:color w:val="0070C0"/>
          <w:szCs w:val="22"/>
        </w:rPr>
      </w:pPr>
      <w:r w:rsidRPr="00C768DC">
        <w:rPr>
          <w:b/>
          <w:color w:val="0070C0"/>
          <w:szCs w:val="22"/>
        </w:rPr>
        <w:t xml:space="preserve">  </w:t>
      </w:r>
      <w:r w:rsidR="007E0D92" w:rsidRPr="00C768DC">
        <w:rPr>
          <w:b/>
          <w:color w:val="0070C0"/>
          <w:szCs w:val="22"/>
        </w:rPr>
        <w:t>Připomínky Rady</w:t>
      </w:r>
    </w:p>
    <w:p w:rsidR="00304D15" w:rsidRPr="00EE759E" w:rsidRDefault="00304D15" w:rsidP="00EE759E">
      <w:pPr>
        <w:autoSpaceDE w:val="0"/>
        <w:autoSpaceDN w:val="0"/>
        <w:adjustRightInd w:val="0"/>
        <w:spacing w:line="276" w:lineRule="auto"/>
        <w:jc w:val="both"/>
        <w:rPr>
          <w:rFonts w:ascii="Arial" w:eastAsiaTheme="minorHAnsi" w:hAnsi="Arial" w:cs="Arial"/>
          <w:sz w:val="22"/>
          <w:szCs w:val="22"/>
          <w:lang w:eastAsia="en-US"/>
        </w:rPr>
      </w:pPr>
      <w:r w:rsidRPr="00EE759E">
        <w:rPr>
          <w:rFonts w:ascii="Arial" w:eastAsiaTheme="minorHAnsi" w:hAnsi="Arial" w:cs="Arial"/>
          <w:sz w:val="22"/>
          <w:szCs w:val="22"/>
          <w:lang w:eastAsia="en-US"/>
        </w:rPr>
        <w:t>Rada na svém 394. zasedání dne 27. října vydala Usnesení</w:t>
      </w:r>
      <w:r w:rsidR="00EE759E" w:rsidRPr="00EE759E">
        <w:rPr>
          <w:rFonts w:ascii="Arial" w:eastAsiaTheme="minorHAnsi" w:hAnsi="Arial" w:cs="Arial"/>
          <w:sz w:val="22"/>
          <w:szCs w:val="22"/>
          <w:lang w:eastAsia="en-US"/>
        </w:rPr>
        <w:t>, ve kterém pověřila předsednictvo Rady pro výzkum, vývoj a inovace, aby vypořádalo zapracování připomínek s Ministerstvem obrany. V souladu s Usnesením Rady je revidovaný materiál po zohlednění připomínek znovu předložen Radě k posouzení za přítomnosti zástupce Ministerstva obrany na jednání Rady, jelikož zástupce MO</w:t>
      </w:r>
      <w:r w:rsidR="00EE759E">
        <w:rPr>
          <w:rFonts w:ascii="Arial" w:eastAsiaTheme="minorHAnsi" w:hAnsi="Arial" w:cs="Arial"/>
          <w:sz w:val="22"/>
          <w:szCs w:val="22"/>
          <w:lang w:eastAsia="en-US"/>
        </w:rPr>
        <w:t xml:space="preserve"> se nemohl úč</w:t>
      </w:r>
      <w:r w:rsidR="00EE759E" w:rsidRPr="00EE759E">
        <w:rPr>
          <w:rFonts w:ascii="Arial" w:eastAsiaTheme="minorHAnsi" w:hAnsi="Arial" w:cs="Arial"/>
          <w:sz w:val="22"/>
          <w:szCs w:val="22"/>
          <w:lang w:eastAsia="en-US"/>
        </w:rPr>
        <w:t>astnit je</w:t>
      </w:r>
      <w:r w:rsidR="00EE759E">
        <w:rPr>
          <w:rFonts w:ascii="Arial" w:eastAsiaTheme="minorHAnsi" w:hAnsi="Arial" w:cs="Arial"/>
          <w:sz w:val="22"/>
          <w:szCs w:val="22"/>
          <w:lang w:eastAsia="en-US"/>
        </w:rPr>
        <w:t>d</w:t>
      </w:r>
      <w:r w:rsidR="00EE759E" w:rsidRPr="00EE759E">
        <w:rPr>
          <w:rFonts w:ascii="Arial" w:eastAsiaTheme="minorHAnsi" w:hAnsi="Arial" w:cs="Arial"/>
          <w:sz w:val="22"/>
          <w:szCs w:val="22"/>
          <w:lang w:eastAsia="en-US"/>
        </w:rPr>
        <w:t>nán</w:t>
      </w:r>
      <w:r w:rsidR="00EE759E">
        <w:rPr>
          <w:rFonts w:ascii="Arial" w:eastAsiaTheme="minorHAnsi" w:hAnsi="Arial" w:cs="Arial"/>
          <w:sz w:val="22"/>
          <w:szCs w:val="22"/>
          <w:lang w:eastAsia="en-US"/>
        </w:rPr>
        <w:t>í předsednictva.</w:t>
      </w:r>
    </w:p>
    <w:p w:rsidR="00304D15" w:rsidRPr="00EE759E" w:rsidRDefault="00304D15" w:rsidP="004C2615">
      <w:pPr>
        <w:autoSpaceDE w:val="0"/>
        <w:autoSpaceDN w:val="0"/>
        <w:adjustRightInd w:val="0"/>
        <w:jc w:val="both"/>
        <w:rPr>
          <w:rFonts w:ascii="Arial" w:eastAsiaTheme="minorHAnsi" w:hAnsi="Arial" w:cs="Arial"/>
          <w:sz w:val="22"/>
          <w:szCs w:val="22"/>
          <w:lang w:eastAsia="en-US"/>
        </w:rPr>
      </w:pPr>
    </w:p>
    <w:p w:rsidR="00304D15" w:rsidRDefault="00304D15" w:rsidP="004C2615">
      <w:pPr>
        <w:autoSpaceDE w:val="0"/>
        <w:autoSpaceDN w:val="0"/>
        <w:adjustRightInd w:val="0"/>
        <w:jc w:val="both"/>
        <w:rPr>
          <w:rFonts w:ascii="Arial" w:eastAsiaTheme="minorHAnsi" w:hAnsi="Arial" w:cs="Arial"/>
          <w:color w:val="000000"/>
          <w:sz w:val="22"/>
          <w:szCs w:val="22"/>
          <w:lang w:eastAsia="en-US"/>
        </w:rPr>
      </w:pPr>
    </w:p>
    <w:p w:rsidR="00F4446F" w:rsidRDefault="00F4446F" w:rsidP="004C2615">
      <w:pPr>
        <w:autoSpaceDE w:val="0"/>
        <w:autoSpaceDN w:val="0"/>
        <w:adjustRightInd w:val="0"/>
        <w:jc w:val="both"/>
        <w:rPr>
          <w:rFonts w:ascii="Arial" w:eastAsiaTheme="minorHAnsi" w:hAnsi="Arial" w:cs="Arial"/>
          <w:color w:val="000000"/>
          <w:sz w:val="22"/>
          <w:szCs w:val="22"/>
          <w:lang w:eastAsia="en-US"/>
        </w:rPr>
      </w:pPr>
    </w:p>
    <w:p w:rsidR="00304D15" w:rsidRDefault="00304D15" w:rsidP="004C2615">
      <w:pPr>
        <w:autoSpaceDE w:val="0"/>
        <w:autoSpaceDN w:val="0"/>
        <w:adjustRightInd w:val="0"/>
        <w:jc w:val="both"/>
        <w:rPr>
          <w:rFonts w:ascii="Arial" w:eastAsiaTheme="minorHAnsi" w:hAnsi="Arial" w:cs="Arial"/>
          <w:color w:val="000000"/>
          <w:sz w:val="22"/>
          <w:szCs w:val="22"/>
          <w:lang w:eastAsia="en-US"/>
        </w:rPr>
      </w:pPr>
    </w:p>
    <w:p w:rsidR="00304D15" w:rsidRPr="004C2615" w:rsidRDefault="00304D15" w:rsidP="004C2615">
      <w:pPr>
        <w:autoSpaceDE w:val="0"/>
        <w:autoSpaceDN w:val="0"/>
        <w:adjustRightInd w:val="0"/>
        <w:jc w:val="both"/>
        <w:rPr>
          <w:rFonts w:ascii="Arial" w:eastAsiaTheme="minorHAnsi" w:hAnsi="Arial" w:cs="Arial"/>
          <w:color w:val="000000"/>
          <w:sz w:val="22"/>
          <w:szCs w:val="22"/>
          <w:lang w:eastAsia="en-US"/>
        </w:rPr>
      </w:pPr>
    </w:p>
    <w:p w:rsidR="004C2615" w:rsidRDefault="004C2615" w:rsidP="004458C2">
      <w:pPr>
        <w:pStyle w:val="Normalodsazen"/>
        <w:spacing w:after="240" w:line="276" w:lineRule="auto"/>
        <w:ind w:left="720" w:firstLine="0"/>
        <w:rPr>
          <w:rFonts w:eastAsiaTheme="minorHAnsi"/>
          <w:color w:val="000000"/>
          <w:szCs w:val="22"/>
        </w:rPr>
      </w:pPr>
    </w:p>
    <w:p w:rsidR="00A251E5" w:rsidRPr="00CA33F2" w:rsidRDefault="00A251E5" w:rsidP="004458C2">
      <w:pPr>
        <w:pStyle w:val="Normalodsazen"/>
        <w:spacing w:after="240" w:line="276" w:lineRule="auto"/>
        <w:ind w:left="720" w:firstLine="0"/>
        <w:rPr>
          <w:b/>
          <w:color w:val="0070C0"/>
          <w:szCs w:val="22"/>
        </w:rPr>
      </w:pPr>
      <w:r w:rsidRPr="00CA33F2">
        <w:rPr>
          <w:b/>
          <w:color w:val="0070C0"/>
          <w:szCs w:val="22"/>
        </w:rPr>
        <w:t>Závěr</w:t>
      </w:r>
    </w:p>
    <w:p w:rsidR="00CA33F2" w:rsidRPr="00CA33F2" w:rsidRDefault="00FF704B" w:rsidP="00CA33F2">
      <w:pPr>
        <w:pStyle w:val="Zkladntext2"/>
        <w:keepNext/>
        <w:spacing w:after="240" w:line="276" w:lineRule="auto"/>
        <w:jc w:val="both"/>
        <w:rPr>
          <w:rFonts w:ascii="Arial" w:hAnsi="Arial" w:cs="Arial"/>
          <w:sz w:val="22"/>
          <w:szCs w:val="22"/>
        </w:rPr>
      </w:pPr>
      <w:r w:rsidRPr="00CA33F2">
        <w:rPr>
          <w:rFonts w:ascii="Arial" w:hAnsi="Arial" w:cs="Arial"/>
          <w:sz w:val="22"/>
          <w:szCs w:val="22"/>
        </w:rPr>
        <w:t xml:space="preserve">Rada </w:t>
      </w:r>
      <w:r w:rsidR="00FC7E67" w:rsidRPr="00CA33F2">
        <w:rPr>
          <w:rFonts w:ascii="Arial" w:hAnsi="Arial" w:cs="Arial"/>
          <w:sz w:val="22"/>
          <w:szCs w:val="22"/>
        </w:rPr>
        <w:t>souhlasí s návrhem Programu</w:t>
      </w:r>
      <w:r w:rsidR="00CA33F2" w:rsidRPr="00CA33F2">
        <w:rPr>
          <w:rFonts w:ascii="Arial" w:hAnsi="Arial" w:cs="Arial"/>
          <w:sz w:val="22"/>
          <w:szCs w:val="22"/>
        </w:rPr>
        <w:t xml:space="preserve"> </w:t>
      </w:r>
      <w:r w:rsidR="0051015C" w:rsidRPr="00CA33F2">
        <w:rPr>
          <w:rFonts w:ascii="Arial" w:hAnsi="Arial" w:cs="Arial"/>
          <w:sz w:val="22"/>
          <w:szCs w:val="22"/>
        </w:rPr>
        <w:t>po zapracování připomínek</w:t>
      </w:r>
      <w:r w:rsidR="00FC7E67" w:rsidRPr="00CA33F2">
        <w:rPr>
          <w:rFonts w:ascii="Arial" w:hAnsi="Arial" w:cs="Arial"/>
          <w:sz w:val="22"/>
          <w:szCs w:val="22"/>
        </w:rPr>
        <w:t xml:space="preserve"> </w:t>
      </w:r>
      <w:r w:rsidR="00CA33F2" w:rsidRPr="00CA33F2">
        <w:rPr>
          <w:rFonts w:ascii="Arial" w:hAnsi="Arial" w:cs="Arial"/>
          <w:sz w:val="22"/>
          <w:szCs w:val="22"/>
        </w:rPr>
        <w:t>Rady a KHV.</w:t>
      </w:r>
    </w:p>
    <w:p w:rsidR="00CA33F2" w:rsidRDefault="00CA33F2" w:rsidP="00CA33F2">
      <w:pPr>
        <w:pStyle w:val="Zkladntext2"/>
        <w:keepNext/>
        <w:spacing w:after="240" w:line="276" w:lineRule="auto"/>
        <w:jc w:val="both"/>
        <w:rPr>
          <w:rFonts w:ascii="Arial" w:hAnsi="Arial" w:cs="Arial"/>
          <w:sz w:val="22"/>
          <w:szCs w:val="22"/>
        </w:rPr>
      </w:pPr>
    </w:p>
    <w:p w:rsidR="00FF704B" w:rsidRPr="005D1545" w:rsidRDefault="00CA33F2" w:rsidP="00CA33F2">
      <w:pPr>
        <w:pStyle w:val="Zkladntext2"/>
        <w:keepNext/>
        <w:spacing w:after="240" w:line="276" w:lineRule="auto"/>
        <w:jc w:val="both"/>
        <w:rPr>
          <w:rFonts w:ascii="Arial" w:hAnsi="Arial" w:cs="Arial"/>
          <w:sz w:val="22"/>
          <w:szCs w:val="22"/>
        </w:rPr>
      </w:pPr>
      <w:r>
        <w:rPr>
          <w:rFonts w:ascii="Arial" w:hAnsi="Arial" w:cs="Arial"/>
          <w:sz w:val="22"/>
          <w:szCs w:val="22"/>
        </w:rPr>
        <w:t xml:space="preserve">V </w:t>
      </w:r>
      <w:r w:rsidR="00FF704B" w:rsidRPr="00CA33F2">
        <w:rPr>
          <w:rFonts w:ascii="Arial" w:hAnsi="Arial" w:cs="Arial"/>
          <w:sz w:val="22"/>
          <w:szCs w:val="22"/>
        </w:rPr>
        <w:t>Pra</w:t>
      </w:r>
      <w:r>
        <w:rPr>
          <w:rFonts w:ascii="Arial" w:hAnsi="Arial" w:cs="Arial"/>
          <w:sz w:val="22"/>
          <w:szCs w:val="22"/>
        </w:rPr>
        <w:t>ze</w:t>
      </w:r>
      <w:r w:rsidR="00FF704B" w:rsidRPr="00CA33F2">
        <w:rPr>
          <w:rFonts w:ascii="Arial" w:hAnsi="Arial" w:cs="Arial"/>
          <w:sz w:val="22"/>
          <w:szCs w:val="22"/>
        </w:rPr>
        <w:t xml:space="preserve"> </w:t>
      </w:r>
      <w:r w:rsidR="005D2401" w:rsidRPr="00CA33F2">
        <w:rPr>
          <w:rFonts w:ascii="Arial" w:hAnsi="Arial" w:cs="Arial"/>
          <w:sz w:val="22"/>
          <w:szCs w:val="22"/>
        </w:rPr>
        <w:t xml:space="preserve">dne </w:t>
      </w:r>
      <w:r w:rsidR="00CB2D32">
        <w:rPr>
          <w:rFonts w:ascii="Arial" w:hAnsi="Arial" w:cs="Arial"/>
          <w:sz w:val="22"/>
          <w:szCs w:val="22"/>
        </w:rPr>
        <w:t xml:space="preserve"> </w:t>
      </w:r>
      <w:r w:rsidR="00B678A3">
        <w:rPr>
          <w:rFonts w:ascii="Arial" w:hAnsi="Arial" w:cs="Arial"/>
          <w:sz w:val="22"/>
          <w:szCs w:val="22"/>
        </w:rPr>
        <w:t xml:space="preserve">15. prosince </w:t>
      </w:r>
      <w:r w:rsidR="00FF704B" w:rsidRPr="00CA33F2">
        <w:rPr>
          <w:rFonts w:ascii="Arial" w:hAnsi="Arial" w:cs="Arial"/>
          <w:sz w:val="22"/>
          <w:szCs w:val="22"/>
        </w:rPr>
        <w:t>20</w:t>
      </w:r>
      <w:r w:rsidR="005D2401" w:rsidRPr="00CA33F2">
        <w:rPr>
          <w:rFonts w:ascii="Arial" w:hAnsi="Arial" w:cs="Arial"/>
          <w:sz w:val="22"/>
          <w:szCs w:val="22"/>
        </w:rPr>
        <w:t>23</w:t>
      </w:r>
    </w:p>
    <w:sectPr w:rsidR="00FF704B" w:rsidRPr="005D1545" w:rsidSect="00294970">
      <w:headerReference w:type="default" r:id="rId9"/>
      <w:footerReference w:type="default" r:id="rId10"/>
      <w:headerReference w:type="first" r:id="rId11"/>
      <w:footerReference w:type="first" r:id="rId12"/>
      <w:pgSz w:w="11906" w:h="16838"/>
      <w:pgMar w:top="1268"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5CE" w:rsidRDefault="009905CE" w:rsidP="008F77F6">
      <w:r>
        <w:separator/>
      </w:r>
    </w:p>
  </w:endnote>
  <w:endnote w:type="continuationSeparator" w:id="0">
    <w:p w:rsidR="009905CE" w:rsidRDefault="009905CE" w:rsidP="008F77F6">
      <w:r>
        <w:continuationSeparator/>
      </w:r>
    </w:p>
  </w:endnote>
  <w:endnote w:type="continuationNotice" w:id="1">
    <w:p w:rsidR="009905CE" w:rsidRDefault="009905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817" w:rsidRDefault="006C07F1" w:rsidP="00C9023B">
    <w:pPr>
      <w:pStyle w:val="Zpat"/>
      <w:jc w:val="center"/>
      <w:rPr>
        <w:rFonts w:ascii="Arial" w:hAnsi="Arial" w:cs="Arial"/>
        <w:sz w:val="16"/>
        <w:szCs w:val="16"/>
      </w:rPr>
    </w:pPr>
    <w:r>
      <w:rPr>
        <w:rFonts w:ascii="Arial" w:hAnsi="Arial" w:cs="Arial"/>
        <w:sz w:val="16"/>
        <w:szCs w:val="16"/>
      </w:rPr>
      <w:t>Program na podporu aplikovaného výzkumu a inovací v obranném průmyslu PRODEF</w:t>
    </w:r>
  </w:p>
  <w:p w:rsidR="005D1545" w:rsidRPr="005D1545" w:rsidRDefault="005D1545" w:rsidP="005D1545">
    <w:pPr>
      <w:pStyle w:val="Zpat"/>
      <w:jc w:val="right"/>
      <w:rPr>
        <w:rFonts w:ascii="Arial" w:hAnsi="Arial" w:cs="Arial"/>
        <w:sz w:val="16"/>
        <w:szCs w:val="16"/>
      </w:rPr>
    </w:pPr>
    <w:r w:rsidRPr="005D1545">
      <w:rPr>
        <w:rFonts w:ascii="Arial" w:hAnsi="Arial" w:cs="Arial"/>
        <w:sz w:val="16"/>
        <w:szCs w:val="16"/>
      </w:rPr>
      <w:fldChar w:fldCharType="begin"/>
    </w:r>
    <w:r w:rsidRPr="005D1545">
      <w:rPr>
        <w:rFonts w:ascii="Arial" w:hAnsi="Arial" w:cs="Arial"/>
        <w:sz w:val="16"/>
        <w:szCs w:val="16"/>
      </w:rPr>
      <w:instrText>PAGE   \* MERGEFORMAT</w:instrText>
    </w:r>
    <w:r w:rsidRPr="005D1545">
      <w:rPr>
        <w:rFonts w:ascii="Arial" w:hAnsi="Arial" w:cs="Arial"/>
        <w:sz w:val="16"/>
        <w:szCs w:val="16"/>
      </w:rPr>
      <w:fldChar w:fldCharType="separate"/>
    </w:r>
    <w:r w:rsidR="00976CB0">
      <w:rPr>
        <w:rFonts w:ascii="Arial" w:hAnsi="Arial" w:cs="Arial"/>
        <w:noProof/>
        <w:sz w:val="16"/>
        <w:szCs w:val="16"/>
      </w:rPr>
      <w:t>2</w:t>
    </w:r>
    <w:r w:rsidRPr="005D1545">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817" w:rsidRDefault="001E4817">
    <w:pPr>
      <w:pStyle w:val="Zpat"/>
      <w:jc w:val="right"/>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355E9D" w:rsidRPr="005C5AEF" w:rsidRDefault="005C5AEF" w:rsidP="005C5AEF">
    <w:pPr>
      <w:pStyle w:val="Zpat"/>
      <w:jc w:val="right"/>
      <w:rPr>
        <w:rFonts w:ascii="Arial" w:hAnsi="Arial" w:cs="Arial"/>
        <w:sz w:val="16"/>
        <w:szCs w:val="16"/>
      </w:rPr>
    </w:pPr>
    <w:r w:rsidRPr="005C5AEF">
      <w:rPr>
        <w:rFonts w:ascii="Arial" w:hAnsi="Arial" w:cs="Arial"/>
        <w:sz w:val="16"/>
        <w:szCs w:val="16"/>
      </w:rPr>
      <w:t xml:space="preserve">Program veřejných zakázek v aplikovaném výzkumu a inovacích pro potřeby veřejné zprávy BETA3   </w:t>
    </w:r>
    <w:r>
      <w:rPr>
        <w:rFonts w:ascii="Arial" w:hAnsi="Arial" w:cs="Arial"/>
        <w:sz w:val="16"/>
        <w:szCs w:val="16"/>
      </w:rPr>
      <w:t xml:space="preserve">                               1</w:t>
    </w:r>
    <w:r w:rsidR="00294970">
      <w:rPr>
        <w:rFonts w:ascii="Arial" w:hAnsi="Arial" w:cs="Arial"/>
        <w:sz w:val="16"/>
        <w:szCs w:val="16"/>
      </w:rPr>
      <w:t xml:space="preserve"> / 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5CE" w:rsidRDefault="009905CE" w:rsidP="008F77F6">
      <w:r>
        <w:separator/>
      </w:r>
    </w:p>
  </w:footnote>
  <w:footnote w:type="continuationSeparator" w:id="0">
    <w:p w:rsidR="009905CE" w:rsidRDefault="009905CE" w:rsidP="008F77F6">
      <w:r>
        <w:continuationSeparator/>
      </w:r>
    </w:p>
  </w:footnote>
  <w:footnote w:type="continuationNotice" w:id="1">
    <w:p w:rsidR="009905CE" w:rsidRDefault="009905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rsidTr="009758E5">
      <w:trPr>
        <w:trHeight w:val="686"/>
      </w:trPr>
      <w:tc>
        <w:tcPr>
          <w:tcW w:w="8188" w:type="dxa"/>
          <w:tcBorders>
            <w:top w:val="nil"/>
            <w:left w:val="nil"/>
            <w:bottom w:val="nil"/>
            <w:right w:val="nil"/>
          </w:tcBorders>
          <w:vAlign w:val="center"/>
        </w:tcPr>
        <w:p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rsidTr="00B062DD">
      <w:trPr>
        <w:trHeight w:val="686"/>
      </w:trPr>
      <w:tc>
        <w:tcPr>
          <w:tcW w:w="8188" w:type="dxa"/>
          <w:tcBorders>
            <w:top w:val="nil"/>
            <w:left w:val="nil"/>
            <w:bottom w:val="nil"/>
            <w:right w:val="single" w:sz="6" w:space="0" w:color="auto"/>
          </w:tcBorders>
          <w:vAlign w:val="center"/>
        </w:tcPr>
        <w:p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0817F1" w:rsidRPr="003C2A8E" w:rsidRDefault="00D750ED" w:rsidP="000817F1">
          <w:pPr>
            <w:pStyle w:val="Zhlav"/>
            <w:jc w:val="center"/>
            <w:rPr>
              <w:rFonts w:ascii="Arial" w:hAnsi="Arial" w:cs="Arial"/>
              <w:b/>
              <w:color w:val="0070C0"/>
              <w:sz w:val="28"/>
              <w:szCs w:val="28"/>
            </w:rPr>
          </w:pPr>
          <w:r>
            <w:rPr>
              <w:rFonts w:ascii="Arial" w:hAnsi="Arial" w:cs="Arial"/>
              <w:b/>
              <w:color w:val="0070C0"/>
              <w:sz w:val="28"/>
              <w:szCs w:val="28"/>
            </w:rPr>
            <w:t>388/A4</w:t>
          </w:r>
        </w:p>
      </w:tc>
    </w:tr>
  </w:tbl>
  <w:p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85CA1B26"/>
    <w:lvl w:ilvl="0" w:tplc="04050011">
      <w:start w:val="1"/>
      <w:numFmt w:val="decimal"/>
      <w:lvlText w:val="%1)"/>
      <w:lvlJc w:val="left"/>
      <w:pPr>
        <w:ind w:left="1080" w:hanging="360"/>
      </w:pPr>
    </w:lvl>
    <w:lvl w:ilvl="1" w:tplc="F9AE0FEE">
      <w:numFmt w:val="bullet"/>
      <w:lvlText w:val="-"/>
      <w:lvlJc w:val="left"/>
      <w:pPr>
        <w:ind w:left="1800" w:hanging="360"/>
      </w:pPr>
      <w:rPr>
        <w:rFonts w:ascii="Arial" w:eastAsiaTheme="minorHAnsi" w:hAnsi="Arial" w:cs="Arial"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003716F"/>
    <w:multiLevelType w:val="hybridMultilevel"/>
    <w:tmpl w:val="31E69FB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68E0C01"/>
    <w:multiLevelType w:val="hybridMultilevel"/>
    <w:tmpl w:val="4844C3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0E47B7E"/>
    <w:multiLevelType w:val="hybridMultilevel"/>
    <w:tmpl w:val="31E69FB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F0F3AD9"/>
    <w:multiLevelType w:val="hybridMultilevel"/>
    <w:tmpl w:val="BF2E02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73671086"/>
    <w:multiLevelType w:val="multilevel"/>
    <w:tmpl w:val="76C84B24"/>
    <w:numStyleLink w:val="StylI-aa"/>
  </w:abstractNum>
  <w:abstractNum w:abstractNumId="31"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4"/>
  </w:num>
  <w:num w:numId="3">
    <w:abstractNumId w:val="14"/>
  </w:num>
  <w:num w:numId="4">
    <w:abstractNumId w:val="15"/>
  </w:num>
  <w:num w:numId="5">
    <w:abstractNumId w:val="25"/>
  </w:num>
  <w:num w:numId="6">
    <w:abstractNumId w:val="30"/>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21"/>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21"/>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0"/>
  </w:num>
  <w:num w:numId="12">
    <w:abstractNumId w:val="9"/>
  </w:num>
  <w:num w:numId="13">
    <w:abstractNumId w:val="26"/>
  </w:num>
  <w:num w:numId="14">
    <w:abstractNumId w:val="13"/>
  </w:num>
  <w:num w:numId="15">
    <w:abstractNumId w:val="5"/>
  </w:num>
  <w:num w:numId="16">
    <w:abstractNumId w:val="20"/>
  </w:num>
  <w:num w:numId="17">
    <w:abstractNumId w:val="31"/>
  </w:num>
  <w:num w:numId="18">
    <w:abstractNumId w:val="1"/>
  </w:num>
  <w:num w:numId="19">
    <w:abstractNumId w:val="32"/>
  </w:num>
  <w:num w:numId="20">
    <w:abstractNumId w:val="11"/>
  </w:num>
  <w:num w:numId="21">
    <w:abstractNumId w:val="6"/>
  </w:num>
  <w:num w:numId="22">
    <w:abstractNumId w:val="7"/>
  </w:num>
  <w:num w:numId="23">
    <w:abstractNumId w:val="19"/>
  </w:num>
  <w:num w:numId="24">
    <w:abstractNumId w:val="27"/>
  </w:num>
  <w:num w:numId="25">
    <w:abstractNumId w:val="8"/>
  </w:num>
  <w:num w:numId="26">
    <w:abstractNumId w:val="17"/>
  </w:num>
  <w:num w:numId="27">
    <w:abstractNumId w:val="2"/>
  </w:num>
  <w:num w:numId="28">
    <w:abstractNumId w:val="18"/>
  </w:num>
  <w:num w:numId="29">
    <w:abstractNumId w:val="4"/>
  </w:num>
  <w:num w:numId="30">
    <w:abstractNumId w:val="22"/>
  </w:num>
  <w:num w:numId="31">
    <w:abstractNumId w:val="28"/>
  </w:num>
  <w:num w:numId="32">
    <w:abstractNumId w:val="24"/>
  </w:num>
  <w:num w:numId="33">
    <w:abstractNumId w:val="12"/>
  </w:num>
  <w:num w:numId="34">
    <w:abstractNumId w:val="23"/>
  </w:num>
  <w:num w:numId="35">
    <w:abstractNumId w:val="16"/>
  </w:num>
  <w:num w:numId="36">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4153"/>
    <w:rsid w:val="000161F8"/>
    <w:rsid w:val="00016583"/>
    <w:rsid w:val="00017DBD"/>
    <w:rsid w:val="00023200"/>
    <w:rsid w:val="0002675F"/>
    <w:rsid w:val="0003465D"/>
    <w:rsid w:val="00036AA3"/>
    <w:rsid w:val="000407E9"/>
    <w:rsid w:val="00040D44"/>
    <w:rsid w:val="00046944"/>
    <w:rsid w:val="000556E4"/>
    <w:rsid w:val="00060C37"/>
    <w:rsid w:val="00062AE1"/>
    <w:rsid w:val="00063E76"/>
    <w:rsid w:val="00064AF4"/>
    <w:rsid w:val="00066C45"/>
    <w:rsid w:val="00073C1D"/>
    <w:rsid w:val="000754A0"/>
    <w:rsid w:val="00076764"/>
    <w:rsid w:val="000817F1"/>
    <w:rsid w:val="000879D3"/>
    <w:rsid w:val="000903FC"/>
    <w:rsid w:val="00090D61"/>
    <w:rsid w:val="00091624"/>
    <w:rsid w:val="00091C65"/>
    <w:rsid w:val="00091DF6"/>
    <w:rsid w:val="0009372F"/>
    <w:rsid w:val="000A193C"/>
    <w:rsid w:val="000A1C00"/>
    <w:rsid w:val="000A3E75"/>
    <w:rsid w:val="000B0156"/>
    <w:rsid w:val="000B19B3"/>
    <w:rsid w:val="000B4308"/>
    <w:rsid w:val="000C1639"/>
    <w:rsid w:val="000C4A33"/>
    <w:rsid w:val="000C616B"/>
    <w:rsid w:val="000C6F80"/>
    <w:rsid w:val="000D09A5"/>
    <w:rsid w:val="000D24AC"/>
    <w:rsid w:val="000D29F5"/>
    <w:rsid w:val="000E04BA"/>
    <w:rsid w:val="000E131B"/>
    <w:rsid w:val="000E4608"/>
    <w:rsid w:val="000E5C0B"/>
    <w:rsid w:val="00107E37"/>
    <w:rsid w:val="00110E4F"/>
    <w:rsid w:val="0011334F"/>
    <w:rsid w:val="00123877"/>
    <w:rsid w:val="001355AD"/>
    <w:rsid w:val="0014093A"/>
    <w:rsid w:val="0014317A"/>
    <w:rsid w:val="00143B5C"/>
    <w:rsid w:val="00153BD8"/>
    <w:rsid w:val="001559EF"/>
    <w:rsid w:val="0016439D"/>
    <w:rsid w:val="00167763"/>
    <w:rsid w:val="0017168B"/>
    <w:rsid w:val="00177955"/>
    <w:rsid w:val="001813B9"/>
    <w:rsid w:val="0019343C"/>
    <w:rsid w:val="001958D0"/>
    <w:rsid w:val="001958DC"/>
    <w:rsid w:val="00196CB2"/>
    <w:rsid w:val="001976BD"/>
    <w:rsid w:val="00197964"/>
    <w:rsid w:val="00197E58"/>
    <w:rsid w:val="001A0238"/>
    <w:rsid w:val="001A1676"/>
    <w:rsid w:val="001B2F84"/>
    <w:rsid w:val="001C2A57"/>
    <w:rsid w:val="001D1682"/>
    <w:rsid w:val="001D4CCF"/>
    <w:rsid w:val="001D537E"/>
    <w:rsid w:val="001E1D3D"/>
    <w:rsid w:val="001E2536"/>
    <w:rsid w:val="001E4817"/>
    <w:rsid w:val="001E62D8"/>
    <w:rsid w:val="002011BC"/>
    <w:rsid w:val="002011E4"/>
    <w:rsid w:val="00201A4E"/>
    <w:rsid w:val="0020370B"/>
    <w:rsid w:val="00204D21"/>
    <w:rsid w:val="00210A68"/>
    <w:rsid w:val="00210B42"/>
    <w:rsid w:val="00215258"/>
    <w:rsid w:val="0022328A"/>
    <w:rsid w:val="002318B9"/>
    <w:rsid w:val="00232E5C"/>
    <w:rsid w:val="00235282"/>
    <w:rsid w:val="00237006"/>
    <w:rsid w:val="002412B0"/>
    <w:rsid w:val="002563B8"/>
    <w:rsid w:val="002604CB"/>
    <w:rsid w:val="0026232B"/>
    <w:rsid w:val="00262B9B"/>
    <w:rsid w:val="00265521"/>
    <w:rsid w:val="00265A36"/>
    <w:rsid w:val="00267B73"/>
    <w:rsid w:val="00270AC1"/>
    <w:rsid w:val="00276BC0"/>
    <w:rsid w:val="0028093B"/>
    <w:rsid w:val="00291D69"/>
    <w:rsid w:val="002944D7"/>
    <w:rsid w:val="00294970"/>
    <w:rsid w:val="0029508B"/>
    <w:rsid w:val="002979A3"/>
    <w:rsid w:val="002A06C3"/>
    <w:rsid w:val="002A1E92"/>
    <w:rsid w:val="002A470F"/>
    <w:rsid w:val="002A4801"/>
    <w:rsid w:val="002A68FE"/>
    <w:rsid w:val="002B06EF"/>
    <w:rsid w:val="002B29AE"/>
    <w:rsid w:val="002B35AB"/>
    <w:rsid w:val="002B543E"/>
    <w:rsid w:val="002C0616"/>
    <w:rsid w:val="002D1D4B"/>
    <w:rsid w:val="002D2A6F"/>
    <w:rsid w:val="002D7614"/>
    <w:rsid w:val="002D76C6"/>
    <w:rsid w:val="002E0EB6"/>
    <w:rsid w:val="002E11DB"/>
    <w:rsid w:val="002E2591"/>
    <w:rsid w:val="002E43C5"/>
    <w:rsid w:val="002E4E01"/>
    <w:rsid w:val="002F13F7"/>
    <w:rsid w:val="002F32F3"/>
    <w:rsid w:val="002F4330"/>
    <w:rsid w:val="003047E9"/>
    <w:rsid w:val="00304D15"/>
    <w:rsid w:val="0030694E"/>
    <w:rsid w:val="0031084C"/>
    <w:rsid w:val="0031520D"/>
    <w:rsid w:val="003157E3"/>
    <w:rsid w:val="00317E5B"/>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579D2"/>
    <w:rsid w:val="00360293"/>
    <w:rsid w:val="00361CB2"/>
    <w:rsid w:val="003630ED"/>
    <w:rsid w:val="00370A46"/>
    <w:rsid w:val="00371036"/>
    <w:rsid w:val="00371539"/>
    <w:rsid w:val="00374148"/>
    <w:rsid w:val="00376ED0"/>
    <w:rsid w:val="00387B05"/>
    <w:rsid w:val="00390DAA"/>
    <w:rsid w:val="00392577"/>
    <w:rsid w:val="00392A71"/>
    <w:rsid w:val="003A4856"/>
    <w:rsid w:val="003A54F9"/>
    <w:rsid w:val="003B08CE"/>
    <w:rsid w:val="003B6354"/>
    <w:rsid w:val="003C2A8E"/>
    <w:rsid w:val="003D1434"/>
    <w:rsid w:val="003D2036"/>
    <w:rsid w:val="003D49BE"/>
    <w:rsid w:val="003D5203"/>
    <w:rsid w:val="003E3504"/>
    <w:rsid w:val="003F38AF"/>
    <w:rsid w:val="003F47E6"/>
    <w:rsid w:val="003F4E97"/>
    <w:rsid w:val="003F757F"/>
    <w:rsid w:val="00405F84"/>
    <w:rsid w:val="004065C7"/>
    <w:rsid w:val="00411664"/>
    <w:rsid w:val="00411CB5"/>
    <w:rsid w:val="004238A1"/>
    <w:rsid w:val="004248CC"/>
    <w:rsid w:val="00427918"/>
    <w:rsid w:val="00440FD2"/>
    <w:rsid w:val="004458C2"/>
    <w:rsid w:val="0045384E"/>
    <w:rsid w:val="00454F6C"/>
    <w:rsid w:val="00463033"/>
    <w:rsid w:val="004747B5"/>
    <w:rsid w:val="00475BBA"/>
    <w:rsid w:val="004779C3"/>
    <w:rsid w:val="00482005"/>
    <w:rsid w:val="004907F7"/>
    <w:rsid w:val="00490F0D"/>
    <w:rsid w:val="00491F88"/>
    <w:rsid w:val="004A062C"/>
    <w:rsid w:val="004A5DA4"/>
    <w:rsid w:val="004A6539"/>
    <w:rsid w:val="004A6C92"/>
    <w:rsid w:val="004B1B86"/>
    <w:rsid w:val="004B4802"/>
    <w:rsid w:val="004C2615"/>
    <w:rsid w:val="004D17B3"/>
    <w:rsid w:val="004D5934"/>
    <w:rsid w:val="004D5A6B"/>
    <w:rsid w:val="004D738E"/>
    <w:rsid w:val="004E06F9"/>
    <w:rsid w:val="004E1907"/>
    <w:rsid w:val="004E742A"/>
    <w:rsid w:val="004F3650"/>
    <w:rsid w:val="004F4AC4"/>
    <w:rsid w:val="00504DE3"/>
    <w:rsid w:val="0051015C"/>
    <w:rsid w:val="00513D47"/>
    <w:rsid w:val="00514109"/>
    <w:rsid w:val="005150A8"/>
    <w:rsid w:val="005169A7"/>
    <w:rsid w:val="005231B2"/>
    <w:rsid w:val="00524457"/>
    <w:rsid w:val="00526416"/>
    <w:rsid w:val="0053122B"/>
    <w:rsid w:val="00536DA1"/>
    <w:rsid w:val="00543A05"/>
    <w:rsid w:val="00550D45"/>
    <w:rsid w:val="00551408"/>
    <w:rsid w:val="00557739"/>
    <w:rsid w:val="00563BD3"/>
    <w:rsid w:val="00564845"/>
    <w:rsid w:val="00573079"/>
    <w:rsid w:val="005736AB"/>
    <w:rsid w:val="00574355"/>
    <w:rsid w:val="005820B4"/>
    <w:rsid w:val="0059693D"/>
    <w:rsid w:val="005A2E79"/>
    <w:rsid w:val="005A4E69"/>
    <w:rsid w:val="005A4FFF"/>
    <w:rsid w:val="005A5563"/>
    <w:rsid w:val="005B6685"/>
    <w:rsid w:val="005B6BC7"/>
    <w:rsid w:val="005B79E0"/>
    <w:rsid w:val="005C1991"/>
    <w:rsid w:val="005C227B"/>
    <w:rsid w:val="005C39B0"/>
    <w:rsid w:val="005C5AEF"/>
    <w:rsid w:val="005C7C7E"/>
    <w:rsid w:val="005D1545"/>
    <w:rsid w:val="005D2401"/>
    <w:rsid w:val="005D4147"/>
    <w:rsid w:val="005D6B8B"/>
    <w:rsid w:val="005D7F05"/>
    <w:rsid w:val="005E1607"/>
    <w:rsid w:val="005E43C2"/>
    <w:rsid w:val="005F0C60"/>
    <w:rsid w:val="005F5928"/>
    <w:rsid w:val="00603A32"/>
    <w:rsid w:val="00603DDE"/>
    <w:rsid w:val="006052F9"/>
    <w:rsid w:val="00606321"/>
    <w:rsid w:val="006075E6"/>
    <w:rsid w:val="006115B9"/>
    <w:rsid w:val="00616978"/>
    <w:rsid w:val="00624BBF"/>
    <w:rsid w:val="00627B43"/>
    <w:rsid w:val="00637D93"/>
    <w:rsid w:val="00640B80"/>
    <w:rsid w:val="00646F21"/>
    <w:rsid w:val="00650DA1"/>
    <w:rsid w:val="00655B50"/>
    <w:rsid w:val="00661823"/>
    <w:rsid w:val="0067279E"/>
    <w:rsid w:val="00680FF8"/>
    <w:rsid w:val="0068427A"/>
    <w:rsid w:val="0068505E"/>
    <w:rsid w:val="006859DC"/>
    <w:rsid w:val="0069070E"/>
    <w:rsid w:val="006956F2"/>
    <w:rsid w:val="0069586C"/>
    <w:rsid w:val="006964D2"/>
    <w:rsid w:val="00697D8E"/>
    <w:rsid w:val="006A29DC"/>
    <w:rsid w:val="006B0319"/>
    <w:rsid w:val="006B4346"/>
    <w:rsid w:val="006B6A25"/>
    <w:rsid w:val="006C07F1"/>
    <w:rsid w:val="006C12AD"/>
    <w:rsid w:val="006C1F4B"/>
    <w:rsid w:val="006C2B24"/>
    <w:rsid w:val="006C6FCE"/>
    <w:rsid w:val="006D3F3F"/>
    <w:rsid w:val="006D4F24"/>
    <w:rsid w:val="006D6CBA"/>
    <w:rsid w:val="006E26F2"/>
    <w:rsid w:val="006E4079"/>
    <w:rsid w:val="006E7A6D"/>
    <w:rsid w:val="006F15AC"/>
    <w:rsid w:val="00704650"/>
    <w:rsid w:val="00710DD7"/>
    <w:rsid w:val="00713421"/>
    <w:rsid w:val="00715771"/>
    <w:rsid w:val="0071799F"/>
    <w:rsid w:val="00717B4D"/>
    <w:rsid w:val="007206E0"/>
    <w:rsid w:val="00720790"/>
    <w:rsid w:val="0072495F"/>
    <w:rsid w:val="00735480"/>
    <w:rsid w:val="00737B79"/>
    <w:rsid w:val="00743832"/>
    <w:rsid w:val="00751384"/>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877C3"/>
    <w:rsid w:val="00791F6E"/>
    <w:rsid w:val="00793F74"/>
    <w:rsid w:val="0079617D"/>
    <w:rsid w:val="007A03DC"/>
    <w:rsid w:val="007A6B5B"/>
    <w:rsid w:val="007B1C90"/>
    <w:rsid w:val="007B21E4"/>
    <w:rsid w:val="007B2FC7"/>
    <w:rsid w:val="007B4C3D"/>
    <w:rsid w:val="007B65A8"/>
    <w:rsid w:val="007C0EC3"/>
    <w:rsid w:val="007C2157"/>
    <w:rsid w:val="007D117D"/>
    <w:rsid w:val="007D4B84"/>
    <w:rsid w:val="007D652A"/>
    <w:rsid w:val="007D7C0F"/>
    <w:rsid w:val="007E0D92"/>
    <w:rsid w:val="007E4301"/>
    <w:rsid w:val="007E6570"/>
    <w:rsid w:val="007F078D"/>
    <w:rsid w:val="007F5DD1"/>
    <w:rsid w:val="00803858"/>
    <w:rsid w:val="00810888"/>
    <w:rsid w:val="00810AA0"/>
    <w:rsid w:val="00816844"/>
    <w:rsid w:val="008175BD"/>
    <w:rsid w:val="00821A7E"/>
    <w:rsid w:val="008234D1"/>
    <w:rsid w:val="00832A97"/>
    <w:rsid w:val="00842480"/>
    <w:rsid w:val="00842BF5"/>
    <w:rsid w:val="00862806"/>
    <w:rsid w:val="008666BF"/>
    <w:rsid w:val="008673E6"/>
    <w:rsid w:val="00867F97"/>
    <w:rsid w:val="00872597"/>
    <w:rsid w:val="00873853"/>
    <w:rsid w:val="00873E61"/>
    <w:rsid w:val="00874418"/>
    <w:rsid w:val="008873C0"/>
    <w:rsid w:val="00890531"/>
    <w:rsid w:val="00896357"/>
    <w:rsid w:val="008A0E39"/>
    <w:rsid w:val="008A76F7"/>
    <w:rsid w:val="008A77EA"/>
    <w:rsid w:val="008C48D1"/>
    <w:rsid w:val="008C5426"/>
    <w:rsid w:val="008D0383"/>
    <w:rsid w:val="008D18C9"/>
    <w:rsid w:val="008D2D30"/>
    <w:rsid w:val="008D4667"/>
    <w:rsid w:val="008E2DE9"/>
    <w:rsid w:val="008F0EF9"/>
    <w:rsid w:val="008F18A5"/>
    <w:rsid w:val="008F1D04"/>
    <w:rsid w:val="008F4F96"/>
    <w:rsid w:val="008F530C"/>
    <w:rsid w:val="008F7463"/>
    <w:rsid w:val="008F77F6"/>
    <w:rsid w:val="00903DAF"/>
    <w:rsid w:val="009065ED"/>
    <w:rsid w:val="00907065"/>
    <w:rsid w:val="00914E04"/>
    <w:rsid w:val="00925E55"/>
    <w:rsid w:val="00926FB3"/>
    <w:rsid w:val="00927FCA"/>
    <w:rsid w:val="00934DE6"/>
    <w:rsid w:val="009464C4"/>
    <w:rsid w:val="00947AB6"/>
    <w:rsid w:val="0095024F"/>
    <w:rsid w:val="00951A16"/>
    <w:rsid w:val="00951E7F"/>
    <w:rsid w:val="00952BBC"/>
    <w:rsid w:val="009546E4"/>
    <w:rsid w:val="009621F0"/>
    <w:rsid w:val="00964D54"/>
    <w:rsid w:val="00972810"/>
    <w:rsid w:val="009758E5"/>
    <w:rsid w:val="00976CB0"/>
    <w:rsid w:val="00980EF3"/>
    <w:rsid w:val="00987147"/>
    <w:rsid w:val="00987288"/>
    <w:rsid w:val="00987E45"/>
    <w:rsid w:val="009905A4"/>
    <w:rsid w:val="009905CE"/>
    <w:rsid w:val="00990D92"/>
    <w:rsid w:val="00991C33"/>
    <w:rsid w:val="0099436E"/>
    <w:rsid w:val="009A0D19"/>
    <w:rsid w:val="009A23F9"/>
    <w:rsid w:val="009A6D64"/>
    <w:rsid w:val="009B0FAC"/>
    <w:rsid w:val="009B5D3A"/>
    <w:rsid w:val="009B6CEE"/>
    <w:rsid w:val="009C0C92"/>
    <w:rsid w:val="009C0DA6"/>
    <w:rsid w:val="009C2656"/>
    <w:rsid w:val="009C2E30"/>
    <w:rsid w:val="009C7E02"/>
    <w:rsid w:val="009D4A72"/>
    <w:rsid w:val="009E1FC9"/>
    <w:rsid w:val="009E3810"/>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51B00"/>
    <w:rsid w:val="00A55AB3"/>
    <w:rsid w:val="00A638DD"/>
    <w:rsid w:val="00A710EC"/>
    <w:rsid w:val="00A7593F"/>
    <w:rsid w:val="00A822A3"/>
    <w:rsid w:val="00A836F5"/>
    <w:rsid w:val="00A90E23"/>
    <w:rsid w:val="00A9321F"/>
    <w:rsid w:val="00A96061"/>
    <w:rsid w:val="00A96499"/>
    <w:rsid w:val="00AA0955"/>
    <w:rsid w:val="00AA6A69"/>
    <w:rsid w:val="00AA70AA"/>
    <w:rsid w:val="00AB0113"/>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1940"/>
    <w:rsid w:val="00B1207E"/>
    <w:rsid w:val="00B13FC0"/>
    <w:rsid w:val="00B17D25"/>
    <w:rsid w:val="00B221B4"/>
    <w:rsid w:val="00B22DDC"/>
    <w:rsid w:val="00B24BC5"/>
    <w:rsid w:val="00B26038"/>
    <w:rsid w:val="00B3286A"/>
    <w:rsid w:val="00B33B98"/>
    <w:rsid w:val="00B34399"/>
    <w:rsid w:val="00B3471F"/>
    <w:rsid w:val="00B43E31"/>
    <w:rsid w:val="00B45FDE"/>
    <w:rsid w:val="00B55C65"/>
    <w:rsid w:val="00B56910"/>
    <w:rsid w:val="00B601EF"/>
    <w:rsid w:val="00B619C2"/>
    <w:rsid w:val="00B64455"/>
    <w:rsid w:val="00B664F5"/>
    <w:rsid w:val="00B678A3"/>
    <w:rsid w:val="00B67FA7"/>
    <w:rsid w:val="00B7410A"/>
    <w:rsid w:val="00B84B26"/>
    <w:rsid w:val="00B952E6"/>
    <w:rsid w:val="00B97146"/>
    <w:rsid w:val="00B97F77"/>
    <w:rsid w:val="00BA3FB1"/>
    <w:rsid w:val="00BA75F4"/>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BF65D3"/>
    <w:rsid w:val="00C0196B"/>
    <w:rsid w:val="00C13BD3"/>
    <w:rsid w:val="00C15553"/>
    <w:rsid w:val="00C159CC"/>
    <w:rsid w:val="00C2348C"/>
    <w:rsid w:val="00C259C9"/>
    <w:rsid w:val="00C25A0A"/>
    <w:rsid w:val="00C26E56"/>
    <w:rsid w:val="00C35CB9"/>
    <w:rsid w:val="00C41157"/>
    <w:rsid w:val="00C4746A"/>
    <w:rsid w:val="00C5404C"/>
    <w:rsid w:val="00C5503A"/>
    <w:rsid w:val="00C62B77"/>
    <w:rsid w:val="00C63124"/>
    <w:rsid w:val="00C72A09"/>
    <w:rsid w:val="00C768DC"/>
    <w:rsid w:val="00C9023B"/>
    <w:rsid w:val="00C92B78"/>
    <w:rsid w:val="00C9481A"/>
    <w:rsid w:val="00C97224"/>
    <w:rsid w:val="00CA33F2"/>
    <w:rsid w:val="00CA56DB"/>
    <w:rsid w:val="00CB2D32"/>
    <w:rsid w:val="00CC0E76"/>
    <w:rsid w:val="00CC2A72"/>
    <w:rsid w:val="00CC370F"/>
    <w:rsid w:val="00CC5C6A"/>
    <w:rsid w:val="00CD3B4A"/>
    <w:rsid w:val="00CE0EC6"/>
    <w:rsid w:val="00CE18F3"/>
    <w:rsid w:val="00CF0A0C"/>
    <w:rsid w:val="00CF5D97"/>
    <w:rsid w:val="00D0009F"/>
    <w:rsid w:val="00D03844"/>
    <w:rsid w:val="00D07043"/>
    <w:rsid w:val="00D1103B"/>
    <w:rsid w:val="00D112BD"/>
    <w:rsid w:val="00D27408"/>
    <w:rsid w:val="00D36217"/>
    <w:rsid w:val="00D36306"/>
    <w:rsid w:val="00D3726C"/>
    <w:rsid w:val="00D461D9"/>
    <w:rsid w:val="00D5593F"/>
    <w:rsid w:val="00D605E2"/>
    <w:rsid w:val="00D64443"/>
    <w:rsid w:val="00D6447E"/>
    <w:rsid w:val="00D665CB"/>
    <w:rsid w:val="00D673CA"/>
    <w:rsid w:val="00D67904"/>
    <w:rsid w:val="00D74A59"/>
    <w:rsid w:val="00D750ED"/>
    <w:rsid w:val="00D80972"/>
    <w:rsid w:val="00D815E6"/>
    <w:rsid w:val="00D9058B"/>
    <w:rsid w:val="00D9525A"/>
    <w:rsid w:val="00D97777"/>
    <w:rsid w:val="00DA38A0"/>
    <w:rsid w:val="00DA562B"/>
    <w:rsid w:val="00DA7B3C"/>
    <w:rsid w:val="00DB05DE"/>
    <w:rsid w:val="00DB2EEE"/>
    <w:rsid w:val="00DC209F"/>
    <w:rsid w:val="00DC5FE9"/>
    <w:rsid w:val="00DC67CF"/>
    <w:rsid w:val="00DC6FB8"/>
    <w:rsid w:val="00DD39A3"/>
    <w:rsid w:val="00DE2F5B"/>
    <w:rsid w:val="00DE331D"/>
    <w:rsid w:val="00DF2654"/>
    <w:rsid w:val="00E02C6B"/>
    <w:rsid w:val="00E042AE"/>
    <w:rsid w:val="00E10E61"/>
    <w:rsid w:val="00E111C0"/>
    <w:rsid w:val="00E306EA"/>
    <w:rsid w:val="00E37AC8"/>
    <w:rsid w:val="00E4196C"/>
    <w:rsid w:val="00E43459"/>
    <w:rsid w:val="00E43DFF"/>
    <w:rsid w:val="00E47D80"/>
    <w:rsid w:val="00E50B42"/>
    <w:rsid w:val="00E63C59"/>
    <w:rsid w:val="00E6489D"/>
    <w:rsid w:val="00E67BD8"/>
    <w:rsid w:val="00E76533"/>
    <w:rsid w:val="00E76626"/>
    <w:rsid w:val="00E80440"/>
    <w:rsid w:val="00E82C93"/>
    <w:rsid w:val="00E90863"/>
    <w:rsid w:val="00E91AAF"/>
    <w:rsid w:val="00E93E65"/>
    <w:rsid w:val="00E943EA"/>
    <w:rsid w:val="00E94E93"/>
    <w:rsid w:val="00E95804"/>
    <w:rsid w:val="00E96EEC"/>
    <w:rsid w:val="00EA0002"/>
    <w:rsid w:val="00EA63CC"/>
    <w:rsid w:val="00EB064E"/>
    <w:rsid w:val="00EB2336"/>
    <w:rsid w:val="00EC2E7B"/>
    <w:rsid w:val="00EC3B82"/>
    <w:rsid w:val="00EC5C5C"/>
    <w:rsid w:val="00EC6B99"/>
    <w:rsid w:val="00EC7EF6"/>
    <w:rsid w:val="00ED0134"/>
    <w:rsid w:val="00ED2A44"/>
    <w:rsid w:val="00ED3C13"/>
    <w:rsid w:val="00ED4458"/>
    <w:rsid w:val="00ED5B8A"/>
    <w:rsid w:val="00EE660E"/>
    <w:rsid w:val="00EE759E"/>
    <w:rsid w:val="00EF1C05"/>
    <w:rsid w:val="00F0046B"/>
    <w:rsid w:val="00F0209F"/>
    <w:rsid w:val="00F055E5"/>
    <w:rsid w:val="00F1087F"/>
    <w:rsid w:val="00F114EC"/>
    <w:rsid w:val="00F11D23"/>
    <w:rsid w:val="00F13E07"/>
    <w:rsid w:val="00F1625C"/>
    <w:rsid w:val="00F16E2B"/>
    <w:rsid w:val="00F23E61"/>
    <w:rsid w:val="00F25A3A"/>
    <w:rsid w:val="00F27770"/>
    <w:rsid w:val="00F31B74"/>
    <w:rsid w:val="00F32721"/>
    <w:rsid w:val="00F35974"/>
    <w:rsid w:val="00F373F8"/>
    <w:rsid w:val="00F37605"/>
    <w:rsid w:val="00F4446F"/>
    <w:rsid w:val="00F519AB"/>
    <w:rsid w:val="00F54F31"/>
    <w:rsid w:val="00F55031"/>
    <w:rsid w:val="00F57E89"/>
    <w:rsid w:val="00F60A14"/>
    <w:rsid w:val="00F65BB1"/>
    <w:rsid w:val="00F76A1F"/>
    <w:rsid w:val="00F77877"/>
    <w:rsid w:val="00F77C86"/>
    <w:rsid w:val="00F801F0"/>
    <w:rsid w:val="00F85F64"/>
    <w:rsid w:val="00F9506D"/>
    <w:rsid w:val="00F95285"/>
    <w:rsid w:val="00F97C83"/>
    <w:rsid w:val="00FA202A"/>
    <w:rsid w:val="00FB2659"/>
    <w:rsid w:val="00FB4178"/>
    <w:rsid w:val="00FB5D93"/>
    <w:rsid w:val="00FC7E67"/>
    <w:rsid w:val="00FD0AAB"/>
    <w:rsid w:val="00FD3CA5"/>
    <w:rsid w:val="00FE3E9C"/>
    <w:rsid w:val="00FE6240"/>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FCE5C5"/>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446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1A02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62DEB-56B6-4B28-9B9D-16F99707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7</Pages>
  <Words>2170</Words>
  <Characters>12809</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69</cp:revision>
  <cp:lastPrinted>2023-12-06T10:30:00Z</cp:lastPrinted>
  <dcterms:created xsi:type="dcterms:W3CDTF">2023-09-20T11:08:00Z</dcterms:created>
  <dcterms:modified xsi:type="dcterms:W3CDTF">2023-12-06T13:13:00Z</dcterms:modified>
</cp:coreProperties>
</file>